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16</w:t>
      </w:r>
      <w:r>
        <w:rPr>
          <w:b/>
          <w:sz w:val="24"/>
        </w:rPr>
        <w:t xml:space="preserve">          </w:t>
      </w:r>
      <w:r>
        <w:rPr>
          <w:b/>
          <w:i/>
          <w:sz w:val="28"/>
        </w:rPr>
        <w:tab/>
      </w:r>
      <w:r>
        <w:rPr>
          <w:b/>
          <w:i/>
          <w:sz w:val="28"/>
        </w:rPr>
        <w:tab/>
      </w:r>
      <w:r>
        <w:rPr>
          <w:b/>
          <w:i/>
          <w:color w:val="000000"/>
          <w:sz w:val="28"/>
          <w:szCs w:val="28"/>
          <w:highlight w:val="none"/>
        </w:rPr>
        <w:t>R4-2</w:t>
      </w:r>
      <w:r>
        <w:rPr>
          <w:rFonts w:hint="eastAsia"/>
          <w:b/>
          <w:i/>
          <w:color w:val="000000"/>
          <w:sz w:val="28"/>
          <w:szCs w:val="28"/>
          <w:highlight w:val="none"/>
          <w:lang w:val="en-US" w:eastAsia="zh-CN"/>
        </w:rPr>
        <w:t>512284</w:t>
      </w:r>
    </w:p>
    <w:p w14:paraId="6DC292D6">
      <w:pPr>
        <w:pStyle w:val="45"/>
        <w:tabs>
          <w:tab w:val="right" w:pos="9639"/>
        </w:tabs>
        <w:rPr>
          <w:sz w:val="24"/>
        </w:rPr>
      </w:pPr>
      <w:r>
        <w:rPr>
          <w:rFonts w:hint="default" w:ascii="Arial" w:hAnsi="Arial" w:eastAsia="宋体" w:cs="Arial"/>
          <w:b/>
          <w:sz w:val="24"/>
          <w:szCs w:val="24"/>
          <w:highlight w:val="none"/>
          <w:lang w:val="en-US" w:eastAsia="zh-CN"/>
        </w:rPr>
        <w:t>B</w:t>
      </w:r>
      <w:r>
        <w:rPr>
          <w:rFonts w:hint="default" w:ascii="Arial" w:hAnsi="Arial" w:eastAsia="宋体" w:cs="Arial"/>
          <w:b/>
          <w:sz w:val="24"/>
          <w:szCs w:val="24"/>
          <w:highlight w:val="none"/>
          <w:lang w:eastAsia="zh-CN"/>
        </w:rPr>
        <w:t>engaluru, India, August 25</w:t>
      </w:r>
      <w:r>
        <w:rPr>
          <w:rFonts w:hint="default" w:ascii="Arial" w:hAnsi="Arial" w:eastAsia="宋体" w:cs="Arial"/>
          <w:b/>
          <w:sz w:val="24"/>
          <w:szCs w:val="24"/>
          <w:highlight w:val="none"/>
          <w:vertAlign w:val="superscript"/>
          <w:lang w:eastAsia="zh-CN"/>
        </w:rPr>
        <w:t>th</w:t>
      </w:r>
      <w:r>
        <w:rPr>
          <w:rFonts w:hint="default" w:ascii="Arial" w:hAnsi="Arial" w:eastAsia="宋体" w:cs="Arial"/>
          <w:b/>
          <w:sz w:val="24"/>
          <w:szCs w:val="24"/>
          <w:highlight w:val="none"/>
          <w:lang w:eastAsia="zh-CN"/>
        </w:rPr>
        <w:t xml:space="preserve"> – 29</w:t>
      </w:r>
      <w:r>
        <w:rPr>
          <w:rFonts w:hint="default" w:ascii="Arial" w:hAnsi="Arial" w:eastAsia="宋体" w:cs="Arial"/>
          <w:b/>
          <w:sz w:val="24"/>
          <w:szCs w:val="24"/>
          <w:highlight w:val="none"/>
          <w:vertAlign w:val="superscript"/>
          <w:lang w:eastAsia="zh-CN"/>
        </w:rPr>
        <w:t>th</w:t>
      </w:r>
      <w:r>
        <w:rPr>
          <w:rFonts w:hint="default" w:ascii="Arial" w:hAnsi="Arial" w:eastAsia="宋体" w:cs="Arial"/>
          <w:b/>
          <w:sz w:val="24"/>
          <w:szCs w:val="24"/>
          <w:lang w:eastAsia="zh-CN"/>
        </w:rPr>
        <w:t>,</w:t>
      </w:r>
      <w:r>
        <w:rPr>
          <w:rFonts w:hint="eastAsia"/>
          <w:b/>
          <w:bCs/>
          <w:sz w:val="24"/>
        </w:rPr>
        <w:t xml:space="preserve">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1</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lang w:val="en-US" w:eastAsia="zh-CN"/>
              </w:rPr>
            </w:pPr>
            <w:r>
              <w:rPr>
                <w:rFonts w:hint="eastAsia"/>
                <w:kern w:val="2"/>
                <w:sz w:val="21"/>
                <w:szCs w:val="22"/>
                <w:lang w:val="en-US" w:eastAsia="zh-CN"/>
              </w:rPr>
              <w:t>DraftCR on transmit timing requirements for asymmetric DL sTRP/UL mTRP deployment</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eastAsia="MS Mincho" w:cs="Arial"/>
                <w:sz w:val="18"/>
                <w:szCs w:val="18"/>
                <w:lang w:eastAsia="ja-JP"/>
              </w:rPr>
              <w:t>NR_MIMO_Ph5-Core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08</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C99D219">
            <w:pPr>
              <w:overflowPunct w:val="0"/>
              <w:autoSpaceDE w:val="0"/>
              <w:autoSpaceDN w:val="0"/>
              <w:adjustRightInd w:val="0"/>
              <w:spacing w:after="120"/>
              <w:textAlignment w:val="baseline"/>
              <w:rPr>
                <w:rFonts w:hint="eastAsia" w:ascii="Arial" w:hAnsi="Arial" w:eastAsia="等线" w:cs="Arial"/>
                <w:szCs w:val="24"/>
                <w:highlight w:val="none"/>
                <w:lang w:val="en-US" w:eastAsia="zh-CN"/>
              </w:rPr>
            </w:pPr>
            <w:r>
              <w:rPr>
                <w:rFonts w:hint="eastAsia" w:ascii="Arial" w:hAnsi="Arial" w:eastAsia="等线" w:cs="Arial"/>
                <w:szCs w:val="24"/>
                <w:highlight w:val="none"/>
                <w:lang w:val="en-US" w:eastAsia="zh-CN"/>
              </w:rPr>
              <w:t>For scenario #1, the DL reference point for PRACH/PUCCH/PUSCH/SRS is missing.</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3EC95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14:paraId="77D360CB">
                  <w:pPr>
                    <w:keepNext w:val="0"/>
                    <w:keepLines w:val="0"/>
                    <w:pageBreakBefore w:val="0"/>
                    <w:kinsoku/>
                    <w:wordWrap/>
                    <w:overflowPunct/>
                    <w:topLinePunct w:val="0"/>
                    <w:autoSpaceDE/>
                    <w:autoSpaceDN/>
                    <w:bidi w:val="0"/>
                    <w:adjustRightInd/>
                    <w:snapToGrid/>
                    <w:spacing w:before="180" w:after="18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Agreement</w:t>
                  </w:r>
                  <w:r>
                    <w:rPr>
                      <w:rFonts w:hint="eastAsia" w:eastAsia="等线" w:cs="Times New Roman"/>
                      <w:sz w:val="20"/>
                      <w:szCs w:val="20"/>
                      <w:lang w:val="en-US" w:eastAsia="zh-CN"/>
                    </w:rPr>
                    <w:t xml:space="preserve"> in </w:t>
                  </w:r>
                  <w:r>
                    <w:rPr>
                      <w:rFonts w:hint="default" w:ascii="Times New Roman" w:hAnsi="Times New Roman" w:cs="Times New Roman"/>
                      <w:sz w:val="20"/>
                      <w:szCs w:val="20"/>
                      <w:vertAlign w:val="baseline"/>
                      <w:lang w:val="en-US" w:eastAsia="zh-CN"/>
                    </w:rPr>
                    <w:t>RAN4 #114 (R4-2502596)</w:t>
                  </w:r>
                </w:p>
                <w:p w14:paraId="11950D95">
                  <w:pPr>
                    <w:numPr>
                      <w:ilvl w:val="0"/>
                      <w:numId w:val="14"/>
                    </w:numPr>
                    <w:overflowPunct/>
                    <w:autoSpaceDE/>
                    <w:adjustRightInd/>
                    <w:spacing w:after="120" w:line="276" w:lineRule="auto"/>
                    <w:textAlignment w:val="auto"/>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eastAsia="zh-CN"/>
                    </w:rPr>
                    <w:t xml:space="preserve">For scenario 1, </w:t>
                  </w:r>
                  <w:r>
                    <w:rPr>
                      <w:rFonts w:hint="default" w:ascii="Times New Roman" w:hAnsi="Times New Roman" w:cs="Times New Roman"/>
                      <w:sz w:val="20"/>
                      <w:szCs w:val="20"/>
                      <w:u w:val="single"/>
                      <w:lang w:eastAsia="zh-CN"/>
                    </w:rPr>
                    <w:t>for both TAGs,</w:t>
                  </w:r>
                  <w:r>
                    <w:rPr>
                      <w:rFonts w:hint="default" w:ascii="Times New Roman" w:hAnsi="Times New Roman" w:cs="Times New Roman"/>
                      <w:sz w:val="20"/>
                      <w:szCs w:val="20"/>
                      <w:lang w:eastAsia="zh-CN"/>
                    </w:rPr>
                    <w:t xml:space="preserve"> the uplink transmission(s) timing for PUCCH/PUSCH/SRS take place (N</w:t>
                  </w:r>
                  <w:r>
                    <w:rPr>
                      <w:rFonts w:hint="default" w:ascii="Times New Roman" w:hAnsi="Times New Roman" w:cs="Times New Roman"/>
                      <w:sz w:val="20"/>
                      <w:szCs w:val="20"/>
                      <w:vertAlign w:val="subscript"/>
                      <w:lang w:eastAsia="zh-CN"/>
                    </w:rPr>
                    <w:t>TA</w:t>
                  </w:r>
                  <w:r>
                    <w:rPr>
                      <w:rFonts w:hint="default" w:ascii="Times New Roman" w:hAnsi="Times New Roman" w:cs="Times New Roman"/>
                      <w:sz w:val="20"/>
                      <w:szCs w:val="20"/>
                      <w:lang w:eastAsia="zh-CN"/>
                    </w:rPr>
                    <w:t xml:space="preserve"> + N</w:t>
                  </w:r>
                  <w:r>
                    <w:rPr>
                      <w:rFonts w:hint="default" w:ascii="Times New Roman" w:hAnsi="Times New Roman" w:cs="Times New Roman"/>
                      <w:sz w:val="20"/>
                      <w:szCs w:val="20"/>
                      <w:vertAlign w:val="subscript"/>
                      <w:lang w:eastAsia="zh-CN"/>
                    </w:rPr>
                    <w:t>TA offset</w:t>
                  </w:r>
                  <w:r>
                    <w:rPr>
                      <w:rFonts w:hint="default" w:ascii="Times New Roman" w:hAnsi="Times New Roman" w:cs="Times New Roman"/>
                      <w:sz w:val="20"/>
                      <w:szCs w:val="20"/>
                      <w:lang w:eastAsia="zh-CN"/>
                    </w:rPr>
                    <w:t>) x Tc before the reception of the first detected path in time of one of the corresponding downlink reference signal(s) of the reference cell associated with DL or Joint TCI state.</w:t>
                  </w:r>
                </w:p>
                <w:p w14:paraId="50DFED6A">
                  <w:pPr>
                    <w:numPr>
                      <w:ilvl w:val="1"/>
                      <w:numId w:val="14"/>
                    </w:numPr>
                    <w:overflowPunct/>
                    <w:autoSpaceDE/>
                    <w:adjustRightInd/>
                    <w:spacing w:after="120" w:line="276" w:lineRule="auto"/>
                    <w:textAlignment w:val="auto"/>
                    <w:rPr>
                      <w:rFonts w:hint="eastAsia" w:ascii="Arial" w:hAnsi="Arial" w:eastAsia="等线" w:cs="Arial"/>
                      <w:sz w:val="22"/>
                      <w:szCs w:val="24"/>
                      <w:highlight w:val="none"/>
                      <w:vertAlign w:val="baseline"/>
                      <w:lang w:val="en-US" w:eastAsia="zh-CN"/>
                    </w:rPr>
                  </w:pPr>
                  <w:r>
                    <w:rPr>
                      <w:rFonts w:hint="default" w:ascii="Times New Roman" w:hAnsi="Times New Roman" w:cs="Times New Roman"/>
                      <w:sz w:val="20"/>
                      <w:szCs w:val="20"/>
                      <w:u w:val="single"/>
                      <w:lang w:eastAsia="zh-CN"/>
                    </w:rPr>
                    <w:t>The above agreement can be revisited if not aligned with RAN1 further agreement.</w:t>
                  </w:r>
                </w:p>
              </w:tc>
            </w:tr>
          </w:tbl>
          <w:p w14:paraId="3E843E84">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 xml:space="preserve">Adding </w:t>
            </w:r>
            <w:r>
              <w:rPr>
                <w:rFonts w:hint="eastAsia" w:ascii="Arial" w:hAnsi="Arial" w:eastAsia="等线" w:cs="Arial"/>
                <w:szCs w:val="24"/>
                <w:highlight w:val="none"/>
                <w:lang w:val="en-US" w:eastAsia="zh-CN"/>
              </w:rPr>
              <w:t>DL reference point for PRACH/PUCCH/PUSCH/SRS</w:t>
            </w:r>
            <w:r>
              <w:rPr>
                <w:rFonts w:hint="eastAsia" w:eastAsia="等线" w:cs="Arial"/>
                <w:szCs w:val="24"/>
                <w:highlight w:val="none"/>
                <w:lang w:val="en-US" w:eastAsia="zh-CN"/>
              </w:rPr>
              <w:t xml:space="preserve"> for scenario #1. The update is based on the agreed draft Big CR(R4-2508458). The revision is with revision mark (CMCC-RAN4#116), and highlighted in blue</w:t>
            </w:r>
            <w:r>
              <w:rPr>
                <w:rFonts w:hint="eastAsia" w:ascii="Arial" w:hAnsi="Arial" w:eastAsia="等线" w:cs="Arial"/>
                <w:szCs w:val="24"/>
                <w:highlight w:val="none"/>
                <w:lang w:val="en-US" w:eastAsia="zh-CN"/>
              </w:rPr>
              <w:t>.</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lang w:val="en-US" w:eastAsia="zh-CN"/>
              </w:rPr>
            </w:pPr>
            <w:r>
              <w:rPr>
                <w:rFonts w:hint="eastAsia"/>
                <w:lang w:val="en-US" w:eastAsia="zh-CN"/>
              </w:rPr>
              <w:t>7, 7.1, 7.1.1, 7.1.2, 7.1.2.1</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77EBC64D">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3589DD7D">
      <w:pPr>
        <w:pStyle w:val="2"/>
      </w:pPr>
      <w:r>
        <w:t>7</w:t>
      </w:r>
      <w:r>
        <w:tab/>
      </w:r>
      <w:r>
        <w:t>Timing</w:t>
      </w:r>
    </w:p>
    <w:p w14:paraId="0502CE12">
      <w:pPr>
        <w:pStyle w:val="3"/>
      </w:pPr>
      <w:r>
        <w:t>7.1</w:t>
      </w:r>
      <w:r>
        <w:tab/>
      </w:r>
      <w:r>
        <w:t>UE transmit timing</w:t>
      </w:r>
    </w:p>
    <w:p w14:paraId="57A82ADB">
      <w:pPr>
        <w:pStyle w:val="4"/>
      </w:pPr>
      <w:r>
        <w:t>7.1.1</w:t>
      </w:r>
      <w:r>
        <w:tab/>
      </w:r>
      <w:r>
        <w:t>Introduction</w:t>
      </w:r>
    </w:p>
    <w:p w14:paraId="6980F4BD">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r>
        <w:rPr>
          <w:rFonts w:hint="eastAsia"/>
          <w:lang w:eastAsia="zh-CN"/>
        </w:rPr>
        <w:t>p</w:t>
      </w:r>
      <w:r>
        <w:rPr>
          <w:lang w:eastAsia="en-GB"/>
        </w:rPr>
        <w:t>TAG,</w:t>
      </w:r>
      <w:r>
        <w:rPr>
          <w:rFonts w:cs="v4.2.0"/>
          <w:lang w:eastAsia="en-GB"/>
        </w:rPr>
        <w:t xml:space="preserve"> </w:t>
      </w:r>
      <w:r>
        <w:rPr>
          <w:lang w:eastAsia="en-GB"/>
        </w:rPr>
        <w:t xml:space="preserve">UE shall use the SpCell as the reference cell for deriving the UE transmit timing for cells in the </w:t>
      </w:r>
      <w:r>
        <w:rPr>
          <w:rFonts w:hint="eastAsia"/>
          <w:lang w:eastAsia="zh-CN"/>
        </w:rPr>
        <w:t>p</w:t>
      </w:r>
      <w:r>
        <w:rPr>
          <w:lang w:eastAsia="en-GB"/>
        </w:rPr>
        <w:t xml:space="preserve">TAG. </w:t>
      </w:r>
      <w:r>
        <w:rPr>
          <w:lang w:eastAsia="ja-JP"/>
        </w:rPr>
        <w:t xml:space="preserve">For serving cell(s) in </w:t>
      </w:r>
      <w:r>
        <w:rPr>
          <w:rFonts w:hint="eastAsia"/>
          <w:lang w:eastAsia="zh-CN"/>
        </w:rPr>
        <w:t>s</w:t>
      </w:r>
      <w:r>
        <w:rPr>
          <w:lang w:eastAsia="ja-JP"/>
        </w:rPr>
        <w:t xml:space="preserve">TAG, </w:t>
      </w:r>
      <w:r>
        <w:rPr>
          <w:lang w:eastAsia="en-GB"/>
        </w:rPr>
        <w:t xml:space="preserve">UE shall use any of the </w:t>
      </w:r>
      <w:r>
        <w:rPr>
          <w:lang w:eastAsia="ja-JP"/>
        </w:rPr>
        <w:t xml:space="preserve">activated SCells </w:t>
      </w:r>
      <w:r>
        <w:rPr>
          <w:lang w:eastAsia="en-GB"/>
        </w:rPr>
        <w:t xml:space="preserve">as the reference cell for deriving the UE transmit timing for </w:t>
      </w:r>
      <w:r>
        <w:rPr>
          <w:lang w:eastAsia="ja-JP"/>
        </w:rPr>
        <w:t xml:space="preserve">the </w:t>
      </w:r>
      <w:r>
        <w:rPr>
          <w:lang w:eastAsia="en-GB"/>
        </w:rPr>
        <w:t xml:space="preserve">cells in the </w:t>
      </w:r>
      <w:r>
        <w:rPr>
          <w:rFonts w:hint="eastAsia"/>
          <w:lang w:eastAsia="zh-CN"/>
        </w:rPr>
        <w:t>s</w:t>
      </w:r>
      <w:r>
        <w:rPr>
          <w:lang w:eastAsia="en-GB"/>
        </w:rPr>
        <w:t xml:space="preserve">TAG. </w:t>
      </w:r>
      <w:r>
        <w:rPr>
          <w:rFonts w:cs="v4.2.0"/>
          <w:lang w:eastAsia="en-GB"/>
        </w:rPr>
        <w:t>UE initial transmit timing accuracy</w:t>
      </w:r>
      <w:r>
        <w:rPr>
          <w:rFonts w:hint="eastAsia" w:cs="v4.2.0"/>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1339E70E">
      <w: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Pr>
          <w:rFonts w:eastAsiaTheme="minorEastAsia"/>
          <w:color w:val="000000"/>
          <w:lang w:eastAsia="zh-CN"/>
        </w:rPr>
        <w:t xml:space="preserve"> </w:t>
      </w:r>
      <w:r>
        <w:rPr>
          <w:bCs/>
          <w:color w:val="000000"/>
        </w:rPr>
        <w:t xml:space="preserve">during at least one discovery burst transmission window, </w:t>
      </w:r>
      <w:r>
        <w:t>at the UE due to DL CCA failures at gNB during the last 1280 ms; otherwise the reference cell on the carrier frequency subject to CCA is considered as available at the UE.</w:t>
      </w:r>
    </w:p>
    <w:p w14:paraId="2F61C93F">
      <w:pPr>
        <w:rPr>
          <w:lang w:eastAsia="zh-CN"/>
        </w:rPr>
      </w:pPr>
      <w:r>
        <w:rPr>
          <w:rFonts w:hint="eastAsia"/>
          <w:lang w:eastAsia="zh-CN"/>
        </w:rPr>
        <w:t>For</w:t>
      </w:r>
      <w:r>
        <w:rPr>
          <w:lang w:eastAsia="zh-CN"/>
        </w:rPr>
        <w:t xml:space="preserve"> UE supporting</w:t>
      </w:r>
      <w:r>
        <w:rPr>
          <w:i/>
          <w:lang w:eastAsia="zh-CN"/>
        </w:rPr>
        <w:t xml:space="preserve"> </w:t>
      </w:r>
      <w:r>
        <w:rPr>
          <w:i/>
        </w:rPr>
        <w:t>rach-EarlyTA-Measurement-r18</w:t>
      </w:r>
      <w:r>
        <w:rPr>
          <w:lang w:eastAsia="zh-CN"/>
        </w:rPr>
        <w:t xml:space="preserve"> for LTM, and if the candidate cell is a neighbour cell or a secondary serving cell without uplink carrier, </w:t>
      </w:r>
    </w:p>
    <w:p w14:paraId="55724276">
      <w:pPr>
        <w:pStyle w:val="99"/>
        <w:rPr>
          <w:rFonts w:eastAsia="MS Mincho"/>
        </w:rPr>
      </w:pPr>
      <w:r>
        <w:rPr>
          <w:rFonts w:eastAsia="MS Mincho"/>
          <w:lang w:eastAsia="zh-CN"/>
        </w:rPr>
        <w:t>-</w:t>
      </w:r>
      <w:r>
        <w:rPr>
          <w:rFonts w:eastAsia="MS Mincho"/>
          <w:lang w:eastAsia="zh-CN"/>
        </w:rPr>
        <w:tab/>
      </w:r>
      <w:r>
        <w:rPr>
          <w:rFonts w:eastAsia="MS Mincho"/>
          <w:lang w:eastAsia="zh-CN"/>
        </w:rPr>
        <w:t xml:space="preserve">UE shall </w:t>
      </w:r>
      <w:r>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eastAsia="MS Mincho"/>
        </w:rPr>
        <w:t xml:space="preserve"> before the reception of the first detected path (in time) of the corresponding downlink frame from the reference cell. </w:t>
      </w:r>
      <w:r>
        <w:rPr>
          <w:rFonts w:eastAsia="MS Mincho"/>
          <w:lang w:eastAsia="ja-JP"/>
        </w:rPr>
        <w:t>UE shall use this candidate cell as the reference cell for deriving transmit timing</w:t>
      </w:r>
      <w:r>
        <w:rPr>
          <w:rFonts w:eastAsia="MS Mincho"/>
        </w:rPr>
        <w:t>. UE initial transmit timing accuracy is defined in the following requirements.</w:t>
      </w:r>
    </w:p>
    <w:p w14:paraId="1B6C9B23">
      <w:r>
        <w:t>For multi-DCI based multi-TRP operation with two TAs</w:t>
      </w:r>
      <w:ins w:id="0" w:author="Yanze, Fu" w:date="2025-05-27T13:13:00Z">
        <w:r>
          <w:rPr/>
          <w:t xml:space="preserve"> and for</w:t>
        </w:r>
        <w:bookmarkStart w:id="1" w:name="_Hlk198885875"/>
        <w:r>
          <w:rPr/>
          <w:t xml:space="preserve"> </w:t>
        </w:r>
      </w:ins>
      <w:ins w:id="1" w:author="Yanze, Fu" w:date="2025-05-27T13:13:00Z">
        <w:r>
          <w:rPr>
            <w:rFonts w:hint="eastAsia"/>
          </w:rPr>
          <w:t>asymmetric DL sTRP/UL mTRP</w:t>
        </w:r>
        <w:bookmarkEnd w:id="1"/>
        <w:r>
          <w:rPr>
            <w:rFonts w:hint="eastAsia"/>
          </w:rPr>
          <w:t xml:space="preserve"> deployment </w:t>
        </w:r>
      </w:ins>
      <w:ins w:id="2" w:author="Yanze, Fu" w:date="2025-05-27T13:13:00Z">
        <w:r>
          <w:rPr/>
          <w:t>with two TAs</w:t>
        </w:r>
      </w:ins>
      <w:r>
        <w:t xml:space="preserve">, for each TAG, the uplink transmission timing takes place </w:t>
      </w:r>
      <m:oMath>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t xml:space="preserve"> before the reception of the downlink reference point.</w:t>
      </w:r>
    </w:p>
    <w:p w14:paraId="30884144">
      <w:pPr>
        <w:rPr>
          <w:color w:val="000000"/>
        </w:rPr>
      </w:pPr>
      <w:r>
        <w:t xml:space="preserve">For multi-DCI based multi-TRP operation with two TAs, the reference point for PUCCH/PUSCH/SRS, is the first detected path (in time) of one of the corresponding downlink reference signal(s) of the reference cell associated with one of the </w:t>
      </w:r>
      <w:r>
        <w:rPr>
          <w:i/>
          <w:iCs/>
          <w:color w:val="000000"/>
        </w:rPr>
        <w:t xml:space="preserve">DLorJointTCIState </w:t>
      </w:r>
      <w:r>
        <w:rPr>
          <w:color w:val="000000"/>
        </w:rPr>
        <w:t>TS 38.331</w:t>
      </w:r>
      <w:r>
        <w:rPr>
          <w:i/>
          <w:iCs/>
          <w:color w:val="000000"/>
        </w:rPr>
        <w:t xml:space="preserve"> </w:t>
      </w:r>
      <w:r>
        <w:rPr>
          <w:color w:val="000000"/>
        </w:rPr>
        <w:t>[</w:t>
      </w:r>
      <w:r>
        <w:t>2] having the same TAG as the uplink signal</w:t>
      </w:r>
      <w:r>
        <w:rPr>
          <w:color w:val="000000"/>
        </w:rPr>
        <w:t>.</w:t>
      </w:r>
    </w:p>
    <w:p w14:paraId="7D0310B7">
      <w:pPr>
        <w:rPr>
          <w:ins w:id="3" w:author="Yanze, Fu" w:date="2025-05-27T13:14:00Z"/>
          <w:color w:val="000000"/>
          <w:highlight w:val="none"/>
          <w:rPrChange w:id="4" w:author="CMCC-RAN4#116" w:date="2025-08-08T18:49:02Z">
            <w:rPr>
              <w:ins w:id="5" w:author="Yanze, Fu" w:date="2025-05-27T13:14:00Z"/>
              <w:color w:val="000000"/>
            </w:rPr>
          </w:rPrChange>
        </w:rPr>
      </w:pPr>
      <w:ins w:id="6" w:author="Yanze, Fu" w:date="2025-05-27T13:14:00Z">
        <w:r>
          <w:rPr>
            <w:highlight w:val="none"/>
            <w:rPrChange w:id="7" w:author="CMCC-RAN4#116" w:date="2025-08-08T18:49:02Z">
              <w:rPr/>
            </w:rPrChange>
          </w:rPr>
          <w:t xml:space="preserve">For  </w:t>
        </w:r>
      </w:ins>
      <w:ins w:id="8" w:author="Yanze, Fu" w:date="2025-05-27T13:14:00Z">
        <w:r>
          <w:rPr>
            <w:rFonts w:hint="eastAsia"/>
            <w:highlight w:val="none"/>
            <w:rPrChange w:id="9" w:author="CMCC-RAN4#116" w:date="2025-08-08T18:49:02Z">
              <w:rPr>
                <w:rFonts w:hint="eastAsia"/>
              </w:rPr>
            </w:rPrChange>
          </w:rPr>
          <w:t xml:space="preserve">asymmetric DL sTRP/UL mTRP deployment </w:t>
        </w:r>
      </w:ins>
      <w:ins w:id="10" w:author="Yanze, Fu" w:date="2025-05-27T13:14:00Z">
        <w:r>
          <w:rPr>
            <w:highlight w:val="none"/>
            <w:rPrChange w:id="11" w:author="CMCC-RAN4#116" w:date="2025-08-08T18:49:02Z">
              <w:rPr/>
            </w:rPrChange>
          </w:rPr>
          <w:t xml:space="preserve">with two TAs, </w:t>
        </w:r>
      </w:ins>
      <w:ins w:id="12" w:author="Yanze, Fu" w:date="2025-05-27T13:14:00Z">
        <w:r>
          <w:rPr>
            <w:rFonts w:hint="eastAsia"/>
            <w:highlight w:val="none"/>
            <w:lang w:val="en-US" w:eastAsia="zh-CN"/>
            <w:rPrChange w:id="13" w:author="CMCC-RAN4#116" w:date="2025-08-08T18:49:02Z">
              <w:rPr>
                <w:rFonts w:hint="eastAsia"/>
                <w:lang w:val="en-US" w:eastAsia="zh-CN"/>
              </w:rPr>
            </w:rPrChange>
          </w:rPr>
          <w:t xml:space="preserve">for the scenario that UE is configured with PL offset in joint/UL TCI state(s) and UE </w:t>
        </w:r>
      </w:ins>
      <w:ins w:id="14" w:author="CMCC-RAN4#116" w:date="2025-08-08T18:47:30Z">
        <w:r>
          <w:rPr>
            <w:rFonts w:hint="eastAsia"/>
            <w:highlight w:val="none"/>
            <w:lang w:val="en-US" w:eastAsia="zh-CN"/>
            <w:rPrChange w:id="15" w:author="CMCC-RAN4#116" w:date="2025-08-08T18:49:02Z">
              <w:rPr>
                <w:rFonts w:hint="eastAsia"/>
                <w:lang w:val="en-US" w:eastAsia="zh-CN"/>
              </w:rPr>
            </w:rPrChange>
          </w:rPr>
          <w:t>do</w:t>
        </w:r>
      </w:ins>
      <w:ins w:id="16" w:author="CMCC-RAN4#116" w:date="2025-08-08T18:47:31Z">
        <w:r>
          <w:rPr>
            <w:rFonts w:hint="eastAsia"/>
            <w:highlight w:val="none"/>
            <w:lang w:val="en-US" w:eastAsia="zh-CN"/>
            <w:rPrChange w:id="17" w:author="CMCC-RAN4#116" w:date="2025-08-08T18:49:02Z">
              <w:rPr>
                <w:rFonts w:hint="eastAsia"/>
                <w:lang w:val="en-US" w:eastAsia="zh-CN"/>
              </w:rPr>
            </w:rPrChange>
          </w:rPr>
          <w:t xml:space="preserve">es </w:t>
        </w:r>
      </w:ins>
      <w:ins w:id="18" w:author="CMCC-RAN4#116" w:date="2025-08-08T18:47:32Z">
        <w:r>
          <w:rPr>
            <w:rFonts w:hint="eastAsia"/>
            <w:highlight w:val="none"/>
            <w:lang w:val="en-US" w:eastAsia="zh-CN"/>
            <w:rPrChange w:id="19" w:author="CMCC-RAN4#116" w:date="2025-08-08T18:49:02Z">
              <w:rPr>
                <w:rFonts w:hint="eastAsia"/>
                <w:lang w:val="en-US" w:eastAsia="zh-CN"/>
              </w:rPr>
            </w:rPrChange>
          </w:rPr>
          <w:t>not</w:t>
        </w:r>
      </w:ins>
      <w:ins w:id="20" w:author="CMCC-RAN4#116" w:date="2025-08-08T18:47:33Z">
        <w:r>
          <w:rPr>
            <w:rFonts w:hint="eastAsia"/>
            <w:highlight w:val="none"/>
            <w:lang w:val="en-US" w:eastAsia="zh-CN"/>
            <w:rPrChange w:id="21" w:author="CMCC-RAN4#116" w:date="2025-08-08T18:49:02Z">
              <w:rPr>
                <w:rFonts w:hint="eastAsia"/>
                <w:lang w:val="en-US" w:eastAsia="zh-CN"/>
              </w:rPr>
            </w:rPrChange>
          </w:rPr>
          <w:t xml:space="preserve"> exp</w:t>
        </w:r>
      </w:ins>
      <w:ins w:id="22" w:author="CMCC-RAN4#116" w:date="2025-08-08T18:47:34Z">
        <w:r>
          <w:rPr>
            <w:rFonts w:hint="eastAsia"/>
            <w:highlight w:val="none"/>
            <w:lang w:val="en-US" w:eastAsia="zh-CN"/>
            <w:rPrChange w:id="23" w:author="CMCC-RAN4#116" w:date="2025-08-08T18:49:02Z">
              <w:rPr>
                <w:rFonts w:hint="eastAsia"/>
                <w:lang w:val="en-US" w:eastAsia="zh-CN"/>
              </w:rPr>
            </w:rPrChange>
          </w:rPr>
          <w:t>ect</w:t>
        </w:r>
      </w:ins>
      <w:ins w:id="24" w:author="Yanze, Fu" w:date="2025-05-27T13:14:00Z">
        <w:r>
          <w:rPr>
            <w:rFonts w:hint="eastAsia"/>
            <w:highlight w:val="none"/>
            <w:lang w:val="en-US" w:eastAsia="zh-CN"/>
            <w:rPrChange w:id="25" w:author="CMCC-RAN4#116" w:date="2025-08-08T18:49:02Z">
              <w:rPr>
                <w:rFonts w:hint="eastAsia"/>
                <w:lang w:val="en-US" w:eastAsia="zh-CN"/>
              </w:rPr>
            </w:rPrChange>
          </w:rPr>
          <w:t xml:space="preserve"> to receive SSB from UL TRP(s)</w:t>
        </w:r>
      </w:ins>
      <w:ins w:id="26" w:author="Yanze, Fu" w:date="2025-05-27T13:14:00Z">
        <w:r>
          <w:rPr>
            <w:highlight w:val="none"/>
            <w:rPrChange w:id="27" w:author="CMCC-RAN4#116" w:date="2025-08-08T18:49:02Z">
              <w:rPr/>
            </w:rPrChange>
          </w:rPr>
          <w:t xml:space="preserve">, </w:t>
        </w:r>
      </w:ins>
      <w:ins w:id="28" w:author="Yanze, Fu" w:date="2025-05-27T13:14:00Z">
        <w:r>
          <w:rPr>
            <w:rFonts w:hint="eastAsia" w:eastAsia="Calibri"/>
            <w:bCs/>
            <w:i/>
            <w:iCs/>
            <w:highlight w:val="none"/>
            <w:lang w:val="en-US" w:eastAsia="zh-CN"/>
            <w:rPrChange w:id="29" w:author="CMCC-RAN4#116" w:date="2025-08-08T18:49:02Z">
              <w:rPr>
                <w:rFonts w:hint="eastAsia" w:eastAsia="Calibri"/>
                <w:bCs/>
                <w:i/>
                <w:iCs/>
                <w:lang w:val="en-US" w:eastAsia="zh-CN"/>
              </w:rPr>
            </w:rPrChange>
          </w:rPr>
          <w:t xml:space="preserve"> </w:t>
        </w:r>
      </w:ins>
      <w:ins w:id="30" w:author="Yanze, Fu" w:date="2025-05-27T13:14:00Z">
        <w:r>
          <w:rPr>
            <w:highlight w:val="none"/>
            <w:rPrChange w:id="31" w:author="CMCC-RAN4#116" w:date="2025-08-08T18:49:02Z">
              <w:rPr/>
            </w:rPrChange>
          </w:rPr>
          <w:t xml:space="preserve">the reference point for </w:t>
        </w:r>
      </w:ins>
      <w:ins w:id="32" w:author="CMCC-RAN4#116" w:date="2025-08-08T18:47:50Z">
        <w:r>
          <w:rPr>
            <w:rFonts w:hint="eastAsia"/>
            <w:highlight w:val="none"/>
            <w:lang w:val="en-US" w:eastAsia="zh-CN"/>
            <w:rPrChange w:id="33" w:author="CMCC-RAN4#116" w:date="2025-08-08T18:49:02Z">
              <w:rPr>
                <w:rFonts w:hint="eastAsia"/>
                <w:lang w:val="en-US" w:eastAsia="zh-CN"/>
              </w:rPr>
            </w:rPrChange>
          </w:rPr>
          <w:t>PRACH</w:t>
        </w:r>
      </w:ins>
      <w:ins w:id="34" w:author="CMCC-RAN4#116" w:date="2025-08-08T18:47:56Z">
        <w:r>
          <w:rPr>
            <w:rFonts w:hint="eastAsia"/>
            <w:highlight w:val="none"/>
            <w:lang w:val="en-US" w:eastAsia="zh-CN"/>
            <w:rPrChange w:id="35" w:author="CMCC-RAN4#116" w:date="2025-08-08T18:49:02Z">
              <w:rPr>
                <w:rFonts w:hint="eastAsia"/>
                <w:lang w:val="en-US" w:eastAsia="zh-CN"/>
              </w:rPr>
            </w:rPrChange>
          </w:rPr>
          <w:t>/</w:t>
        </w:r>
      </w:ins>
      <w:ins w:id="36" w:author="Yanze, Fu" w:date="2025-05-27T13:14:00Z">
        <w:r>
          <w:rPr>
            <w:highlight w:val="none"/>
            <w:rPrChange w:id="37" w:author="CMCC-RAN4#116" w:date="2025-08-08T18:49:02Z">
              <w:rPr/>
            </w:rPrChange>
          </w:rPr>
          <w:t>PUCCH/PUSCH/SRS</w:t>
        </w:r>
      </w:ins>
      <w:ins w:id="38" w:author="CMCC-RAN4#116" w:date="2025-08-08T18:47:59Z">
        <w:r>
          <w:rPr>
            <w:rFonts w:hint="eastAsia"/>
            <w:highlight w:val="none"/>
            <w:lang w:val="en-US" w:eastAsia="zh-CN"/>
            <w:rPrChange w:id="39" w:author="CMCC-RAN4#116" w:date="2025-08-08T18:49:02Z">
              <w:rPr>
                <w:rFonts w:hint="eastAsia"/>
                <w:lang w:val="en-US" w:eastAsia="zh-CN"/>
              </w:rPr>
            </w:rPrChange>
          </w:rPr>
          <w:t xml:space="preserve"> is</w:t>
        </w:r>
      </w:ins>
      <w:ins w:id="40" w:author="CMCC-RAN4#116" w:date="2025-08-08T18:48:00Z">
        <w:r>
          <w:rPr>
            <w:rFonts w:hint="eastAsia"/>
            <w:highlight w:val="none"/>
            <w:lang w:val="en-US" w:eastAsia="zh-CN"/>
            <w:rPrChange w:id="41" w:author="CMCC-RAN4#116" w:date="2025-08-08T18:49:02Z">
              <w:rPr>
                <w:rFonts w:hint="eastAsia"/>
                <w:lang w:val="en-US" w:eastAsia="zh-CN"/>
              </w:rPr>
            </w:rPrChange>
          </w:rPr>
          <w:t xml:space="preserve"> </w:t>
        </w:r>
      </w:ins>
      <w:ins w:id="42" w:author="CMCC-RAN4#116" w:date="2025-08-08T18:48:34Z">
        <w:r>
          <w:rPr>
            <w:rFonts w:hint="eastAsia"/>
            <w:highlight w:val="none"/>
            <w:lang w:val="en-US" w:eastAsia="zh-CN"/>
            <w:rPrChange w:id="43" w:author="CMCC-RAN4#116" w:date="2025-08-08T18:49:02Z">
              <w:rPr>
                <w:rFonts w:hint="eastAsia"/>
                <w:lang w:val="en-US" w:eastAsia="zh-CN"/>
              </w:rPr>
            </w:rPrChange>
          </w:rPr>
          <w:t xml:space="preserve">the first detected path in time of one of the corresponding downlink reference signal(s) of the reference cell associated with </w:t>
        </w:r>
      </w:ins>
      <w:ins w:id="44" w:author="CMCC-Jingjing" w:date="2025-08-28T13:33:08Z">
        <w:r>
          <w:rPr>
            <w:rFonts w:hint="eastAsia"/>
            <w:highlight w:val="none"/>
            <w:lang w:val="en-US" w:eastAsia="zh-CN"/>
          </w:rPr>
          <w:t>one</w:t>
        </w:r>
      </w:ins>
      <w:ins w:id="45" w:author="CMCC-Jingjing" w:date="2025-08-28T13:33:09Z">
        <w:r>
          <w:rPr>
            <w:rFonts w:hint="eastAsia"/>
            <w:highlight w:val="none"/>
            <w:lang w:val="en-US" w:eastAsia="zh-CN"/>
          </w:rPr>
          <w:t xml:space="preserve"> </w:t>
        </w:r>
      </w:ins>
      <w:ins w:id="46" w:author="CMCC-Jingjing" w:date="2025-08-28T13:33:10Z">
        <w:r>
          <w:rPr>
            <w:rFonts w:hint="eastAsia"/>
            <w:highlight w:val="none"/>
            <w:lang w:val="en-US" w:eastAsia="zh-CN"/>
          </w:rPr>
          <w:t>o</w:t>
        </w:r>
      </w:ins>
      <w:ins w:id="47" w:author="CMCC-Jingjing" w:date="2025-08-28T13:33:11Z">
        <w:r>
          <w:rPr>
            <w:rFonts w:hint="eastAsia"/>
            <w:highlight w:val="none"/>
            <w:lang w:val="en-US" w:eastAsia="zh-CN"/>
          </w:rPr>
          <w:t>f</w:t>
        </w:r>
      </w:ins>
      <w:ins w:id="48" w:author="CMCC-Jingjing" w:date="2025-08-28T13:33:12Z">
        <w:r>
          <w:rPr>
            <w:rFonts w:hint="eastAsia"/>
            <w:highlight w:val="none"/>
            <w:lang w:val="en-US" w:eastAsia="zh-CN"/>
          </w:rPr>
          <w:t xml:space="preserve"> th</w:t>
        </w:r>
      </w:ins>
      <w:ins w:id="49" w:author="CMCC-Jingjing" w:date="2025-08-28T13:33:13Z">
        <w:r>
          <w:rPr>
            <w:rFonts w:hint="eastAsia"/>
            <w:highlight w:val="none"/>
            <w:lang w:val="en-US" w:eastAsia="zh-CN"/>
          </w:rPr>
          <w:t xml:space="preserve">e </w:t>
        </w:r>
      </w:ins>
      <w:ins w:id="50" w:author="CMCC-RAN4#116" w:date="2025-08-08T18:48:34Z">
        <w:r>
          <w:rPr>
            <w:rFonts w:hint="eastAsia"/>
            <w:highlight w:val="none"/>
            <w:lang w:val="en-US" w:eastAsia="zh-CN"/>
            <w:rPrChange w:id="51" w:author="CMCC-RAN4#116" w:date="2025-08-08T18:49:02Z">
              <w:rPr>
                <w:rFonts w:hint="eastAsia"/>
                <w:lang w:val="en-US" w:eastAsia="zh-CN"/>
              </w:rPr>
            </w:rPrChange>
          </w:rPr>
          <w:t>DL or Joint TCI state.</w:t>
        </w:r>
      </w:ins>
    </w:p>
    <w:p w14:paraId="79F501C3">
      <w:pPr>
        <w:rPr>
          <w:ins w:id="52" w:author="Yanze, Fu" w:date="2025-05-27T13:14:00Z"/>
        </w:rPr>
      </w:pPr>
      <w:ins w:id="53" w:author="Yanze, Fu" w:date="2025-05-27T13:14:00Z">
        <w:r>
          <w:rPr/>
          <w:t xml:space="preserve">For  </w:t>
        </w:r>
      </w:ins>
      <w:ins w:id="54" w:author="Yanze, Fu" w:date="2025-05-27T13:14:00Z">
        <w:r>
          <w:rPr>
            <w:rFonts w:hint="eastAsia"/>
          </w:rPr>
          <w:t xml:space="preserve">asymmetric DL sTRP/UL mTRP deployment </w:t>
        </w:r>
      </w:ins>
      <w:ins w:id="55" w:author="Yanze, Fu" w:date="2025-05-27T13:14:00Z">
        <w:r>
          <w:rPr/>
          <w:t xml:space="preserve">with two TAs, </w:t>
        </w:r>
      </w:ins>
      <w:ins w:id="56" w:author="Yanze, Fu" w:date="2025-05-27T13:14:00Z">
        <w:r>
          <w:rPr>
            <w:rFonts w:hint="eastAsia"/>
            <w:lang w:val="en-US" w:eastAsia="zh-CN"/>
          </w:rPr>
          <w:t>for the scenario that UE is not configured with PL offset in joint/UL TCI state(s) and UE may expect to receive SSB from UL TRP(s)</w:t>
        </w:r>
      </w:ins>
      <w:ins w:id="57" w:author="Yanze, Fu" w:date="2025-05-27T13:14:00Z">
        <w:r>
          <w:rPr/>
          <w:t xml:space="preserve">, </w:t>
        </w:r>
      </w:ins>
      <w:ins w:id="58" w:author="Yanze, Fu" w:date="2025-05-27T13:14:00Z">
        <w:r>
          <w:rPr>
            <w:rFonts w:eastAsia="Calibri"/>
            <w:bCs/>
            <w:lang w:eastAsia="zh-CN"/>
          </w:rPr>
          <w:t xml:space="preserve">for the case UE is configured with </w:t>
        </w:r>
      </w:ins>
      <w:ins w:id="59" w:author="Yanze, Fu" w:date="2025-05-27T13:14:00Z">
        <w:r>
          <w:rPr>
            <w:rFonts w:eastAsia="Calibri"/>
            <w:bCs/>
            <w:i/>
            <w:iCs/>
            <w:lang w:eastAsia="zh-CN"/>
          </w:rPr>
          <w:t>SSB-MTC-additionalPCI</w:t>
        </w:r>
      </w:ins>
      <w:ins w:id="60" w:author="Yanze, Fu" w:date="2025-05-27T13:14:00Z">
        <w:r>
          <w:rPr>
            <w:rFonts w:hint="eastAsia" w:eastAsia="Calibri"/>
            <w:bCs/>
            <w:i/>
            <w:iCs/>
            <w:lang w:val="en-US" w:eastAsia="zh-CN"/>
          </w:rPr>
          <w:t xml:space="preserve">, </w:t>
        </w:r>
      </w:ins>
      <w:ins w:id="61" w:author="Yanze, Fu" w:date="2025-05-27T13:14:00Z">
        <w:r>
          <w:rPr/>
          <w:t xml:space="preserve">the reference point for PUCCH/PUSCH/SRS, is the first detected path (in time) of one of the corresponding downlink reference signal(s) of the reference cell associated with one of the </w:t>
        </w:r>
      </w:ins>
      <w:ins w:id="62" w:author="Yanze, Fu" w:date="2025-05-27T13:14:00Z">
        <w:r>
          <w:rPr>
            <w:i/>
            <w:iCs/>
            <w:color w:val="000000"/>
          </w:rPr>
          <w:t xml:space="preserve">DLorJointTCIState </w:t>
        </w:r>
      </w:ins>
      <w:ins w:id="63" w:author="Yanze, Fu" w:date="2025-05-27T13:14:00Z">
        <w:r>
          <w:rPr>
            <w:rFonts w:hint="eastAsia"/>
            <w:color w:val="000000"/>
            <w:lang w:val="en-US" w:eastAsia="zh-CN"/>
          </w:rPr>
          <w:t xml:space="preserve">or </w:t>
        </w:r>
      </w:ins>
      <w:ins w:id="64" w:author="Yanze, Fu" w:date="2025-05-27T13:14:00Z">
        <w:del w:id="65" w:author="CMCC-Jingjing" w:date="2025-08-28T13:33:46Z">
          <w:r>
            <w:rPr>
              <w:rFonts w:hint="default"/>
              <w:color w:val="000000"/>
              <w:lang w:val="en-US" w:eastAsia="zh-CN"/>
            </w:rPr>
            <w:delText>[</w:delText>
          </w:r>
        </w:del>
      </w:ins>
      <w:ins w:id="66" w:author="CMCC-Jingjing" w:date="2025-08-28T13:33:46Z">
        <w:r>
          <w:rPr>
            <w:rFonts w:hint="eastAsia"/>
            <w:color w:val="000000"/>
            <w:lang w:val="en-US" w:eastAsia="zh-CN"/>
          </w:rPr>
          <w:t>-</w:t>
        </w:r>
      </w:ins>
      <w:ins w:id="67" w:author="Yanze, Fu" w:date="2025-05-27T13:14:00Z">
        <w:r>
          <w:rPr>
            <w:rFonts w:hint="eastAsia"/>
            <w:color w:val="000000"/>
            <w:lang w:val="en-US" w:eastAsia="zh-CN"/>
          </w:rPr>
          <w:t>UL TCI states</w:t>
        </w:r>
      </w:ins>
      <w:ins w:id="68" w:author="Yanze, Fu" w:date="2025-05-27T13:14:00Z">
        <w:del w:id="69" w:author="CMCC-Jingjing" w:date="2025-08-28T13:33:48Z">
          <w:r>
            <w:rPr>
              <w:rFonts w:hint="eastAsia"/>
              <w:color w:val="000000"/>
              <w:lang w:val="en-US" w:eastAsia="zh-CN"/>
            </w:rPr>
            <w:delText>]</w:delText>
          </w:r>
        </w:del>
      </w:ins>
      <w:ins w:id="70" w:author="Yanze, Fu" w:date="2025-05-27T13:14:00Z">
        <w:r>
          <w:rPr>
            <w:rFonts w:hint="eastAsia"/>
            <w:i/>
            <w:iCs/>
            <w:color w:val="000000"/>
            <w:lang w:val="en-US" w:eastAsia="zh-CN"/>
          </w:rPr>
          <w:t xml:space="preserve"> </w:t>
        </w:r>
      </w:ins>
      <w:ins w:id="71" w:author="Yanze, Fu" w:date="2025-05-27T13:14:00Z">
        <w:r>
          <w:rPr>
            <w:color w:val="000000"/>
          </w:rPr>
          <w:t>TS 38.331</w:t>
        </w:r>
      </w:ins>
      <w:ins w:id="72" w:author="Yanze, Fu" w:date="2025-05-27T13:14:00Z">
        <w:r>
          <w:rPr>
            <w:i/>
            <w:iCs/>
            <w:color w:val="000000"/>
          </w:rPr>
          <w:t xml:space="preserve"> </w:t>
        </w:r>
      </w:ins>
      <w:ins w:id="73" w:author="Yanze, Fu" w:date="2025-05-27T13:14:00Z">
        <w:r>
          <w:rPr>
            <w:color w:val="000000"/>
          </w:rPr>
          <w:t>[</w:t>
        </w:r>
      </w:ins>
      <w:ins w:id="74" w:author="Yanze, Fu" w:date="2025-05-27T13:14:00Z">
        <w:r>
          <w:rPr/>
          <w:t>2] having the same TAG as the uplink signal</w:t>
        </w:r>
      </w:ins>
      <w:ins w:id="75" w:author="CMCC-RAN4#116" w:date="2025-08-08T18:51:08Z">
        <w:bookmarkStart w:id="3" w:name="_GoBack"/>
        <w:r>
          <w:rPr>
            <w:rFonts w:hint="eastAsia"/>
            <w:highlight w:val="none"/>
            <w:lang w:val="en-US" w:eastAsia="zh-CN"/>
            <w:rPrChange w:id="76" w:author="CMCC-RAN4#116" w:date="2025-08-08T18:51:30Z">
              <w:rPr>
                <w:rFonts w:hint="eastAsia"/>
                <w:lang w:val="en-US" w:eastAsia="zh-CN"/>
              </w:rPr>
            </w:rPrChange>
          </w:rPr>
          <w:t>,</w:t>
        </w:r>
      </w:ins>
      <w:ins w:id="77" w:author="CMCC-RAN4#116" w:date="2025-08-08T18:51:09Z">
        <w:r>
          <w:rPr>
            <w:rFonts w:hint="eastAsia"/>
            <w:highlight w:val="none"/>
            <w:lang w:val="en-US" w:eastAsia="zh-CN"/>
            <w:rPrChange w:id="78" w:author="CMCC-RAN4#116" w:date="2025-08-08T18:51:30Z">
              <w:rPr>
                <w:rFonts w:hint="eastAsia"/>
                <w:lang w:val="en-US" w:eastAsia="zh-CN"/>
              </w:rPr>
            </w:rPrChange>
          </w:rPr>
          <w:t xml:space="preserve"> </w:t>
        </w:r>
      </w:ins>
      <w:ins w:id="79" w:author="CMCC-RAN4#116" w:date="2025-08-08T18:51:14Z">
        <w:r>
          <w:rPr>
            <w:rFonts w:hint="eastAsia"/>
            <w:highlight w:val="none"/>
            <w:lang w:val="en-US" w:eastAsia="zh-CN"/>
            <w:rPrChange w:id="80" w:author="CMCC-RAN4#116" w:date="2025-08-08T18:51:30Z">
              <w:rPr>
                <w:rFonts w:hint="eastAsia"/>
                <w:lang w:val="en-US" w:eastAsia="zh-CN"/>
              </w:rPr>
            </w:rPrChange>
          </w:rPr>
          <w:t>and is the same for both TAGs</w:t>
        </w:r>
        <w:bookmarkEnd w:id="3"/>
      </w:ins>
      <w:ins w:id="81" w:author="Yanze, Fu" w:date="2025-05-27T13:14:00Z">
        <w:r>
          <w:rPr/>
          <w:t>.</w:t>
        </w:r>
      </w:ins>
    </w:p>
    <w:p w14:paraId="77B51BB6">
      <w:pPr>
        <w:rPr>
          <w:del w:id="82" w:author="CMCC-Jingjing" w:date="2025-08-28T17:32:55Z"/>
        </w:rPr>
      </w:pPr>
      <w:ins w:id="83" w:author="Yanze, Fu" w:date="2025-05-27T13:14:00Z">
        <w:del w:id="84" w:author="CMCC-Jingjing" w:date="2025-08-28T17:32:55Z">
          <w:r>
            <w:rPr>
              <w:i/>
              <w:iCs/>
            </w:rPr>
            <w:delText xml:space="preserve">Editor note:  For </w:delText>
          </w:r>
        </w:del>
      </w:ins>
      <w:ins w:id="85" w:author="Yanze, Fu" w:date="2025-05-27T13:14:00Z">
        <w:del w:id="86" w:author="CMCC-Jingjing" w:date="2025-08-28T17:32:55Z">
          <w:r>
            <w:rPr>
              <w:rFonts w:hint="eastAsia"/>
              <w:i/>
              <w:iCs/>
              <w:lang w:val="en-US" w:eastAsia="zh-CN"/>
            </w:rPr>
            <w:delText>terminology of</w:delText>
          </w:r>
        </w:del>
      </w:ins>
      <w:ins w:id="87" w:author="Yanze, Fu" w:date="2025-05-27T13:14:00Z">
        <w:del w:id="88" w:author="CMCC-Jingjing" w:date="2025-08-28T17:32:55Z">
          <w:r>
            <w:rPr>
              <w:i/>
              <w:iCs/>
            </w:rPr>
            <w:delText xml:space="preserve"> </w:delText>
          </w:r>
        </w:del>
      </w:ins>
      <w:ins w:id="89" w:author="Yanze, Fu" w:date="2025-05-27T13:14:00Z">
        <w:del w:id="90" w:author="CMCC-Jingjing" w:date="2025-08-28T17:32:55Z">
          <w:r>
            <w:rPr>
              <w:rFonts w:hint="eastAsia"/>
            </w:rPr>
            <w:delText xml:space="preserve">asymmetric DL sTRP/UL mTRP deployment </w:delText>
          </w:r>
        </w:del>
      </w:ins>
      <w:ins w:id="91" w:author="Yanze, Fu" w:date="2025-05-27T13:14:00Z">
        <w:del w:id="92" w:author="CMCC-Jingjing" w:date="2025-08-28T17:32:55Z">
          <w:r>
            <w:rPr/>
            <w:delText>with two TAs</w:delText>
          </w:r>
        </w:del>
      </w:ins>
      <w:ins w:id="93" w:author="Yanze, Fu" w:date="2025-05-27T13:14:00Z">
        <w:del w:id="94" w:author="CMCC-Jingjing" w:date="2025-08-28T17:32:55Z">
          <w:r>
            <w:rPr>
              <w:i/>
              <w:iCs/>
            </w:rPr>
            <w:delText xml:space="preserve">, they will be updated </w:delText>
          </w:r>
        </w:del>
      </w:ins>
      <w:ins w:id="95" w:author="Yanze, Fu" w:date="2025-05-27T13:14:00Z">
        <w:del w:id="96" w:author="CMCC-Jingjing" w:date="2025-08-28T17:32:55Z">
          <w:r>
            <w:rPr>
              <w:rFonts w:hint="eastAsia"/>
              <w:i/>
              <w:iCs/>
              <w:lang w:val="en-US" w:eastAsia="zh-CN"/>
            </w:rPr>
            <w:delText>based on</w:delText>
          </w:r>
        </w:del>
      </w:ins>
      <w:ins w:id="97" w:author="Yanze, Fu" w:date="2025-05-27T13:14:00Z">
        <w:del w:id="98" w:author="CMCC-Jingjing" w:date="2025-08-28T17:32:55Z">
          <w:r>
            <w:rPr>
              <w:i/>
              <w:iCs/>
            </w:rPr>
            <w:delText xml:space="preserve"> UE capability name further.</w:delText>
          </w:r>
        </w:del>
      </w:ins>
    </w:p>
    <w:p w14:paraId="763CA657">
      <w:r>
        <w:t>For multi-DCI based multi-TRP operation with two TAs if the UE is not provided</w:t>
      </w:r>
      <w:r>
        <w:rPr>
          <w:i/>
        </w:rPr>
        <w:t xml:space="preserve"> SSB-MTC-AdditionalPCI</w:t>
      </w:r>
      <w:r>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0FC6533E">
      <w:r>
        <w:t>For multi-DCI based multi-TRP operation with two TAs if the UE is provided</w:t>
      </w:r>
      <w:r>
        <w:rPr>
          <w:i/>
        </w:rPr>
        <w:t xml:space="preserve"> SSB-MTC-AdditionalPCI</w:t>
      </w:r>
      <w:r>
        <w:t>, the reference point for PRACH transmission triggered by PDCCH order,</w:t>
      </w:r>
    </w:p>
    <w:p w14:paraId="467419E9">
      <w:pPr>
        <w:pStyle w:val="99"/>
      </w:pPr>
      <w:r>
        <w:rPr>
          <w:rFonts w:eastAsia="MS Mincho"/>
          <w:lang w:eastAsia="zh-CN"/>
        </w:rPr>
        <w:t>-</w:t>
      </w:r>
      <w:r>
        <w:rPr>
          <w:rFonts w:eastAsia="MS Mincho"/>
          <w:lang w:eastAsia="zh-CN"/>
        </w:rPr>
        <w:tab/>
      </w:r>
      <w:r>
        <w:t>if “PRACH association indicator” is 0, the reference timing is the first detected path (in time) of one of the corresponding downlink reference signal(s) of DL TCI state(s) of the reference cell associated with the first TAG.</w:t>
      </w:r>
    </w:p>
    <w:p w14:paraId="6F12D5CF">
      <w:pPr>
        <w:pStyle w:val="99"/>
      </w:pPr>
      <w:r>
        <w:rPr>
          <w:rFonts w:eastAsia="MS Mincho"/>
          <w:lang w:eastAsia="zh-CN"/>
        </w:rPr>
        <w:t>-</w:t>
      </w:r>
      <w:r>
        <w:rPr>
          <w:rFonts w:eastAsia="MS Mincho"/>
          <w:lang w:eastAsia="zh-CN"/>
        </w:rPr>
        <w:tab/>
      </w:r>
      <w:r>
        <w:t>if “PRACH association indicator” is 1, the reference timing is the first detected path (in time) of one of the corresponding downlink reference signal(s) of DL TCI state(s) of the reference cell associated with the second TAG.</w:t>
      </w:r>
    </w:p>
    <w:p w14:paraId="0ED3EB21">
      <w:pPr>
        <w:rPr>
          <w:ins w:id="99" w:author="Yanze, Fu" w:date="2025-05-27T13:15:00Z"/>
        </w:rPr>
      </w:pPr>
      <w:ins w:id="100" w:author="Yanze, Fu" w:date="2025-05-27T13:15:00Z">
        <w:r>
          <w:rPr/>
          <w:t>For asymmetric</w:t>
        </w:r>
      </w:ins>
      <w:ins w:id="101" w:author="Yanze, Fu" w:date="2025-05-27T13:15:00Z">
        <w:r>
          <w:rPr>
            <w:rFonts w:hint="eastAsia"/>
          </w:rPr>
          <w:t xml:space="preserve"> DL sTRP/UL mTRP deployment </w:t>
        </w:r>
      </w:ins>
      <w:ins w:id="102" w:author="Yanze, Fu" w:date="2025-05-27T13:15:00Z">
        <w:r>
          <w:rPr/>
          <w:t xml:space="preserve">with two TAs, </w:t>
        </w:r>
      </w:ins>
      <w:ins w:id="103" w:author="Yanze, Fu" w:date="2025-05-27T13:15:00Z">
        <w:r>
          <w:rPr>
            <w:rFonts w:hint="eastAsia"/>
            <w:lang w:val="en-US" w:eastAsia="zh-CN"/>
          </w:rPr>
          <w:t>for the scenario that UE is not configured with PL offset in joint/UL TCI state(s) and UE may expect to receive SSB from UL TRP(s)</w:t>
        </w:r>
      </w:ins>
      <w:ins w:id="104" w:author="Yanze, Fu" w:date="2025-05-27T13:15:00Z">
        <w:r>
          <w:rPr/>
          <w:t xml:space="preserve">, </w:t>
        </w:r>
      </w:ins>
      <w:ins w:id="105" w:author="Yanze, Fu" w:date="2025-05-27T13:15:00Z">
        <w:r>
          <w:rPr>
            <w:rFonts w:eastAsia="Calibri"/>
            <w:bCs/>
            <w:lang w:eastAsia="zh-CN"/>
          </w:rPr>
          <w:t xml:space="preserve">for the case UE is configured with </w:t>
        </w:r>
      </w:ins>
      <w:ins w:id="106" w:author="Yanze, Fu" w:date="2025-05-27T13:15:00Z">
        <w:r>
          <w:rPr>
            <w:rFonts w:eastAsia="Calibri"/>
            <w:bCs/>
            <w:i/>
            <w:iCs/>
            <w:lang w:eastAsia="zh-CN"/>
          </w:rPr>
          <w:t>SSB-MTC-additionalPCI</w:t>
        </w:r>
      </w:ins>
      <w:ins w:id="107" w:author="Yanze, Fu" w:date="2025-05-27T13:15:00Z">
        <w:r>
          <w:rPr>
            <w:rFonts w:hint="eastAsia" w:eastAsia="Calibri"/>
            <w:bCs/>
            <w:i/>
            <w:iCs/>
            <w:lang w:val="en-US" w:eastAsia="zh-CN"/>
          </w:rPr>
          <w:t xml:space="preserve">, </w:t>
        </w:r>
      </w:ins>
      <w:ins w:id="108" w:author="Yanze, Fu" w:date="2025-05-27T13:15:00Z">
        <w:r>
          <w:rPr/>
          <w:t>the reference point for PRACH transmission triggered by PDCCH order,</w:t>
        </w:r>
      </w:ins>
    </w:p>
    <w:p w14:paraId="72F00F2D">
      <w:pPr>
        <w:pStyle w:val="99"/>
        <w:rPr>
          <w:ins w:id="109" w:author="Yanze, Fu" w:date="2025-05-27T13:15:00Z"/>
        </w:rPr>
      </w:pPr>
      <w:ins w:id="110" w:author="Yanze, Fu" w:date="2025-05-27T13:15:00Z">
        <w:r>
          <w:rPr>
            <w:rFonts w:eastAsia="MS Mincho"/>
            <w:lang w:eastAsia="zh-CN"/>
          </w:rPr>
          <w:t>-</w:t>
        </w:r>
      </w:ins>
      <w:ins w:id="111" w:author="Yanze, Fu" w:date="2025-05-27T13:15:00Z">
        <w:r>
          <w:rPr>
            <w:rFonts w:eastAsia="MS Mincho"/>
            <w:lang w:eastAsia="zh-CN"/>
          </w:rPr>
          <w:tab/>
        </w:r>
      </w:ins>
      <w:ins w:id="112" w:author="Yanze, Fu" w:date="2025-05-27T13:15:00Z">
        <w:r>
          <w:rPr/>
          <w:t xml:space="preserve">if “PRACH association indicator” </w:t>
        </w:r>
      </w:ins>
      <w:ins w:id="113" w:author="Yanze, Fu" w:date="2025-05-27T13:15:00Z">
        <w:r>
          <w:rPr>
            <w:rFonts w:eastAsia="Calibri"/>
            <w:bCs/>
            <w:lang w:eastAsia="zh-CN"/>
          </w:rPr>
          <w:t>in DCI format 1_0</w:t>
        </w:r>
      </w:ins>
      <w:ins w:id="114" w:author="Yanze, Fu" w:date="2025-05-27T13:15:00Z">
        <w:r>
          <w:rPr>
            <w:rFonts w:hint="eastAsia" w:eastAsia="Calibri"/>
            <w:bCs/>
            <w:lang w:val="en-US" w:eastAsia="zh-CN"/>
          </w:rPr>
          <w:t xml:space="preserve"> </w:t>
        </w:r>
      </w:ins>
      <w:ins w:id="115" w:author="Yanze, Fu" w:date="2025-05-27T13:15:00Z">
        <w:r>
          <w:rPr/>
          <w:t>is 0, the reference timing is the first detected path (in time) of one of the corresponding downlink reference signal(s) of DL TCI state(s) of the reference cell associated with the first TAG.</w:t>
        </w:r>
      </w:ins>
    </w:p>
    <w:p w14:paraId="7E832868">
      <w:pPr>
        <w:pStyle w:val="99"/>
        <w:rPr>
          <w:ins w:id="116" w:author="Yanze, Fu" w:date="2025-05-27T13:15:00Z"/>
        </w:rPr>
      </w:pPr>
      <w:ins w:id="117" w:author="Yanze, Fu" w:date="2025-05-27T13:15:00Z">
        <w:r>
          <w:rPr>
            <w:rFonts w:eastAsia="MS Mincho"/>
            <w:lang w:eastAsia="zh-CN"/>
          </w:rPr>
          <w:t>-</w:t>
        </w:r>
      </w:ins>
      <w:ins w:id="118" w:author="Yanze, Fu" w:date="2025-05-27T13:15:00Z">
        <w:r>
          <w:rPr>
            <w:rFonts w:eastAsia="MS Mincho"/>
            <w:lang w:eastAsia="zh-CN"/>
          </w:rPr>
          <w:tab/>
        </w:r>
      </w:ins>
      <w:ins w:id="119" w:author="Yanze, Fu" w:date="2025-05-27T13:15:00Z">
        <w:r>
          <w:rPr/>
          <w:t xml:space="preserve">if “PRACH association indicator” </w:t>
        </w:r>
      </w:ins>
      <w:ins w:id="120" w:author="Yanze, Fu" w:date="2025-05-27T13:15:00Z">
        <w:r>
          <w:rPr>
            <w:rFonts w:eastAsia="Yu Mincho"/>
            <w:bCs/>
            <w:lang w:eastAsia="zh-CN"/>
          </w:rPr>
          <w:t>in DCI format 1_0</w:t>
        </w:r>
      </w:ins>
      <w:ins w:id="121" w:author="Yanze, Fu" w:date="2025-05-27T13:15:00Z">
        <w:r>
          <w:rPr>
            <w:rFonts w:hint="eastAsia" w:eastAsia="Yu Mincho"/>
            <w:bCs/>
            <w:lang w:val="en-US" w:eastAsia="zh-CN"/>
          </w:rPr>
          <w:t xml:space="preserve"> </w:t>
        </w:r>
      </w:ins>
      <w:ins w:id="122" w:author="Yanze, Fu" w:date="2025-05-27T13:15:00Z">
        <w:r>
          <w:rPr/>
          <w:t xml:space="preserve">is 1, the reference timing is the first detected path (in time) of one of the corresponding downlink reference signal(s) of DL </w:t>
        </w:r>
      </w:ins>
      <w:ins w:id="123" w:author="Yanze, Fu" w:date="2025-05-27T13:15:00Z">
        <w:r>
          <w:rPr>
            <w:rFonts w:hint="eastAsia"/>
            <w:lang w:val="en-US" w:eastAsia="zh-CN"/>
          </w:rPr>
          <w:t xml:space="preserve">or </w:t>
        </w:r>
      </w:ins>
      <w:ins w:id="124" w:author="Yanze, Fu" w:date="2025-05-27T13:15:00Z">
        <w:del w:id="125" w:author="CMCC-Jingjing" w:date="2025-08-28T14:26:36Z">
          <w:r>
            <w:rPr>
              <w:rFonts w:hint="eastAsia"/>
              <w:lang w:val="en-US" w:eastAsia="zh-CN"/>
            </w:rPr>
            <w:delText>[</w:delText>
          </w:r>
        </w:del>
      </w:ins>
      <w:ins w:id="126" w:author="Yanze, Fu" w:date="2025-05-27T13:15:00Z">
        <w:r>
          <w:rPr>
            <w:rFonts w:hint="eastAsia"/>
            <w:lang w:val="en-US" w:eastAsia="zh-CN"/>
          </w:rPr>
          <w:t>UL</w:t>
        </w:r>
      </w:ins>
      <w:ins w:id="127" w:author="Yanze, Fu" w:date="2025-05-27T13:15:00Z">
        <w:del w:id="128" w:author="CMCC-Jingjing" w:date="2025-08-28T14:26:37Z">
          <w:r>
            <w:rPr>
              <w:rFonts w:hint="eastAsia"/>
              <w:lang w:val="en-US" w:eastAsia="zh-CN"/>
            </w:rPr>
            <w:delText>]</w:delText>
          </w:r>
        </w:del>
      </w:ins>
      <w:ins w:id="129" w:author="Yanze, Fu" w:date="2025-05-27T13:15:00Z">
        <w:r>
          <w:rPr>
            <w:rFonts w:hint="eastAsia"/>
            <w:lang w:val="en-US" w:eastAsia="zh-CN"/>
          </w:rPr>
          <w:t xml:space="preserve"> </w:t>
        </w:r>
      </w:ins>
      <w:ins w:id="130" w:author="Yanze, Fu" w:date="2025-05-27T13:15:00Z">
        <w:r>
          <w:rPr/>
          <w:t>TCI state(s) of the reference cell associated with the second TAG.</w:t>
        </w:r>
      </w:ins>
    </w:p>
    <w:p w14:paraId="6ECF46F3">
      <w:pPr>
        <w:rPr>
          <w:ins w:id="131" w:author="Yanze, Fu" w:date="2025-05-27T13:15:00Z"/>
          <w:color w:val="000000"/>
        </w:rPr>
      </w:pPr>
      <w:ins w:id="132" w:author="Yanze, Fu" w:date="2025-05-27T13:15:00Z">
        <w:del w:id="133" w:author="CMCC-Jingjing" w:date="2025-08-28T17:32:50Z">
          <w:r>
            <w:rPr>
              <w:i/>
              <w:iCs/>
            </w:rPr>
            <w:delText xml:space="preserve">Editor note:  For </w:delText>
          </w:r>
        </w:del>
      </w:ins>
      <w:ins w:id="134" w:author="Yanze, Fu" w:date="2025-05-27T13:15:00Z">
        <w:del w:id="135" w:author="CMCC-Jingjing" w:date="2025-08-28T17:32:50Z">
          <w:r>
            <w:rPr>
              <w:rFonts w:hint="eastAsia"/>
              <w:i/>
              <w:iCs/>
              <w:lang w:val="en-US" w:eastAsia="zh-CN"/>
            </w:rPr>
            <w:delText>terminology of</w:delText>
          </w:r>
        </w:del>
      </w:ins>
      <w:ins w:id="136" w:author="Yanze, Fu" w:date="2025-05-27T13:15:00Z">
        <w:del w:id="137" w:author="CMCC-Jingjing" w:date="2025-08-28T17:32:50Z">
          <w:r>
            <w:rPr>
              <w:i/>
              <w:iCs/>
            </w:rPr>
            <w:delText xml:space="preserve"> </w:delText>
          </w:r>
        </w:del>
      </w:ins>
      <w:ins w:id="138" w:author="Yanze, Fu" w:date="2025-05-27T13:15:00Z">
        <w:del w:id="139" w:author="CMCC-Jingjing" w:date="2025-08-28T17:32:50Z">
          <w:r>
            <w:rPr>
              <w:rFonts w:hint="eastAsia"/>
            </w:rPr>
            <w:delText xml:space="preserve">asymmetric DL sTRP/UL mTRP deployment </w:delText>
          </w:r>
        </w:del>
      </w:ins>
      <w:ins w:id="140" w:author="Yanze, Fu" w:date="2025-05-27T13:15:00Z">
        <w:del w:id="141" w:author="CMCC-Jingjing" w:date="2025-08-28T17:32:50Z">
          <w:r>
            <w:rPr/>
            <w:delText>with two TAs</w:delText>
          </w:r>
        </w:del>
      </w:ins>
      <w:ins w:id="142" w:author="Yanze, Fu" w:date="2025-05-27T13:15:00Z">
        <w:del w:id="143" w:author="CMCC-Jingjing" w:date="2025-08-28T17:32:50Z">
          <w:r>
            <w:rPr>
              <w:i/>
              <w:iCs/>
            </w:rPr>
            <w:delText xml:space="preserve">, they will be updated </w:delText>
          </w:r>
        </w:del>
      </w:ins>
      <w:ins w:id="144" w:author="Yanze, Fu" w:date="2025-05-27T13:15:00Z">
        <w:del w:id="145" w:author="CMCC-Jingjing" w:date="2025-08-28T17:32:50Z">
          <w:r>
            <w:rPr>
              <w:rFonts w:hint="eastAsia"/>
              <w:i/>
              <w:iCs/>
              <w:lang w:val="en-US" w:eastAsia="zh-CN"/>
            </w:rPr>
            <w:delText>based on</w:delText>
          </w:r>
        </w:del>
      </w:ins>
      <w:ins w:id="146" w:author="Yanze, Fu" w:date="2025-05-27T13:15:00Z">
        <w:del w:id="147" w:author="CMCC-Jingjing" w:date="2025-08-28T17:32:50Z">
          <w:r>
            <w:rPr>
              <w:i/>
              <w:iCs/>
            </w:rPr>
            <w:delText xml:space="preserve"> UE capability name further</w:delText>
          </w:r>
        </w:del>
      </w:ins>
      <w:ins w:id="148" w:author="Yanze, Fu" w:date="2025-05-27T13:15:00Z">
        <w:del w:id="149" w:author="CMCC-Jingjing" w:date="2025-08-28T17:32:51Z">
          <w:r>
            <w:rPr>
              <w:i/>
              <w:iCs/>
            </w:rPr>
            <w:delText>.</w:delText>
          </w:r>
        </w:del>
      </w:ins>
    </w:p>
    <w:p w14:paraId="40A1620E">
      <w:r>
        <w:rPr>
          <w:color w:val="000000"/>
        </w:rPr>
        <w:t xml:space="preserve">Where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oMath>
      <w:r>
        <w:t xml:space="preserve"> and </w:t>
      </w:r>
      <m:oMath>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oMath>
      <w:r>
        <w:t xml:space="preserve"> are commanded by the network independently for each TAG TS 38.331 [2].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rFonts w:eastAsia="MS Mincho"/>
        </w:rPr>
        <w:t xml:space="preserve"> for first TAG and second TAG are as defined in n-TimingAdvanceOffset and n-TimingAdvanceOffset2 respectively, if configured, otherwise </w:t>
      </w:r>
      <w:r>
        <w:t xml:space="preserve">it is </w:t>
      </w:r>
      <m:oMath>
        <m:sSub>
          <m:sSubPr>
            <m:ctrlPr>
              <w:rPr>
                <w:rFonts w:ascii="Cambria Math" w:hAnsi="Cambria Math" w:eastAsia="MS Mincho"/>
                <w:i/>
              </w:rPr>
            </m:ctrlPr>
          </m:sSubPr>
          <m:e>
            <m:r>
              <m:rPr/>
              <w:rPr>
                <w:rFonts w:ascii="Cambria Math" w:hAnsi="Cambria Math" w:eastAsia="MS Mincho"/>
              </w:rPr>
              <m:t>N</m:t>
            </m:r>
            <m:ctrlPr>
              <w:rPr>
                <w:rFonts w:ascii="Cambria Math" w:hAnsi="Cambria Math" w:eastAsia="MS Mincho"/>
                <w:i/>
              </w:rPr>
            </m:ctrlPr>
          </m:e>
          <m:sub>
            <m:r>
              <m:rPr>
                <m:nor/>
                <m:sty m:val="p"/>
              </m:rPr>
              <w:rPr>
                <w:rFonts w:eastAsia="MS Mincho"/>
                <w:b w:val="0"/>
                <w:i w:val="0"/>
              </w:rPr>
              <m:t>TA offset</m:t>
            </m:r>
            <m:ctrlPr>
              <w:rPr>
                <w:rFonts w:ascii="Cambria Math" w:hAnsi="Cambria Math" w:eastAsia="MS Mincho"/>
              </w:rPr>
            </m:ctrlPr>
          </m:sub>
        </m:sSub>
      </m:oMath>
      <w:r>
        <w:rPr>
          <w:vertAlign w:val="subscript"/>
        </w:rPr>
        <w:t xml:space="preserve"> </w:t>
      </w:r>
      <w:r>
        <w:t>defined in table 7.1.2-2.</w:t>
      </w:r>
    </w:p>
    <w:p w14:paraId="0A3B96AB">
      <w:r>
        <w:rPr>
          <w:lang w:eastAsia="zh-CN"/>
        </w:rPr>
        <w:t xml:space="preserve">In the requirements of clause 7.1.2, the SSB applies for both CD-SSB and NCD-SSB if the UE supports </w:t>
      </w:r>
      <w:r>
        <w:rPr>
          <w:i/>
          <w:iCs/>
          <w:lang w:eastAsia="zh-CN"/>
        </w:rPr>
        <w:t>ncd-SSB-BWP-Wor-r18</w:t>
      </w:r>
      <w:r>
        <w:rPr>
          <w:lang w:eastAsia="zh-CN"/>
        </w:rPr>
        <w:t>.</w:t>
      </w:r>
    </w:p>
    <w:p w14:paraId="2B0FE0F5">
      <w:pPr>
        <w:pStyle w:val="4"/>
      </w:pPr>
      <w:r>
        <w:t>7.1.2</w:t>
      </w:r>
      <w:r>
        <w:tab/>
      </w:r>
      <w:r>
        <w:t>Requirements</w:t>
      </w:r>
    </w:p>
    <w:p w14:paraId="1B35F1BF">
      <w:pPr>
        <w:rPr>
          <w:rFonts w:cs="v4.2.0"/>
        </w:rPr>
      </w:pPr>
      <w:r>
        <w:rPr>
          <w:rFonts w:cs="v4.2.0"/>
        </w:rPr>
        <w:t xml:space="preserve">The UE initial transmission timing error shall be less than or equal to </w:t>
      </w:r>
      <w:r>
        <w:rPr>
          <w:rFonts w:cs="v4.2.0"/>
        </w:rPr>
        <w:sym w:font="Symbol" w:char="F0B1"/>
      </w:r>
      <w:r>
        <w:rPr>
          <w:rFonts w:cs="v4.2.0"/>
        </w:rPr>
        <w:t>T</w:t>
      </w:r>
      <w:r>
        <w:rPr>
          <w:rFonts w:cs="v4.2.0"/>
          <w:vertAlign w:val="subscript"/>
        </w:rPr>
        <w:t>e</w:t>
      </w:r>
      <w:r>
        <w:t xml:space="preserve"> where the timing error limit value </w:t>
      </w:r>
      <w:r>
        <w:rPr>
          <w:rFonts w:cs="v4.2.0"/>
        </w:rPr>
        <w:t>T</w:t>
      </w:r>
      <w:r>
        <w:rPr>
          <w:rFonts w:cs="v4.2.0"/>
          <w:vertAlign w:val="subscript"/>
        </w:rPr>
        <w:t>e</w:t>
      </w:r>
      <w:r>
        <w:t xml:space="preserve"> is specified in table 7.1.2-1</w:t>
      </w:r>
      <w:r>
        <w:rPr>
          <w:rFonts w:cs="v4.2.0"/>
        </w:rPr>
        <w:t>. This requirement applies:</w:t>
      </w:r>
    </w:p>
    <w:p w14:paraId="7F87DE96">
      <w:pPr>
        <w:pStyle w:val="99"/>
      </w:pPr>
      <w:r>
        <w:rPr>
          <w:lang w:eastAsia="ko-KR"/>
        </w:rPr>
        <w:t>-</w:t>
      </w:r>
      <w:r>
        <w:rPr>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1A731528">
      <w:pPr>
        <w:pStyle w:val="99"/>
      </w:pPr>
      <w:r>
        <w:rPr>
          <w:lang w:eastAsia="ko-KR"/>
        </w:rPr>
        <w:t>-</w:t>
      </w:r>
      <w:r>
        <w:rPr>
          <w:lang w:eastAsia="ko-KR"/>
        </w:rPr>
        <w:tab/>
      </w:r>
      <w:r>
        <w:rPr>
          <w:lang w:eastAsia="en-GB"/>
        </w:rPr>
        <w:t>when it is the transmission for PUSCH on CG resources for SDT in RRC_INACTIVE.</w:t>
      </w:r>
    </w:p>
    <w:p w14:paraId="4BFF7254">
      <w:pPr>
        <w:pStyle w:val="99"/>
      </w:pPr>
      <w:r>
        <w:rPr>
          <w:lang w:eastAsia="ko-KR"/>
        </w:rPr>
        <w:t>-</w:t>
      </w:r>
      <w:r>
        <w:rPr>
          <w:lang w:eastAsia="ko-KR"/>
        </w:rPr>
        <w:tab/>
      </w:r>
      <w:r>
        <w:t>when it is the first transmission on target cell after UE receives LTM cell switch command.</w:t>
      </w:r>
    </w:p>
    <w:p w14:paraId="21D1CF58">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090C19BF">
      <w:pPr>
        <w:rPr>
          <w:rFonts w:cs="v4.2.0"/>
          <w:lang w:eastAsia="en-GB"/>
        </w:rPr>
      </w:pPr>
      <w:r>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en-GB"/>
        </w:rPr>
        <w:t xml:space="preserve">. The downlink timing is defined as the time when the first path (in time) of the corresponding downlink frame </w:t>
      </w:r>
      <w:r>
        <w:rPr>
          <w:lang w:val="en-US" w:eastAsia="zh-CN"/>
        </w:rPr>
        <w:t xml:space="preserve">used by the UE to determine downlink timing </w:t>
      </w:r>
      <w:r>
        <w:rPr>
          <w:rFonts w:cs="v4.2.0"/>
          <w:lang w:eastAsia="en-GB"/>
        </w:rPr>
        <w:t xml:space="preserve">is received </w:t>
      </w:r>
      <w:r>
        <w:rPr>
          <w:lang w:eastAsia="en-GB"/>
        </w:rPr>
        <w:t xml:space="preserve">from the reference cell at the UE antenna.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rFonts w:cs="v4.2.0"/>
          <w:lang w:eastAsia="en-GB"/>
        </w:rPr>
        <w:t xml:space="preserve"> for PRACH is defined as 0.</w:t>
      </w:r>
    </w:p>
    <w:p w14:paraId="30445F66">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lang w:eastAsia="en-GB"/>
        </w:rPr>
        <w:t xml:space="preserve"> (in </w:t>
      </w:r>
      <w:r>
        <w:rPr>
          <w:i/>
          <w:lang w:eastAsia="en-GB"/>
        </w:rPr>
        <w:t>T</w:t>
      </w:r>
      <w:r>
        <w:rPr>
          <w:i/>
          <w:vertAlign w:val="subscript"/>
          <w:lang w:eastAsia="en-GB"/>
        </w:rPr>
        <w:t>c</w:t>
      </w:r>
      <w:r>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m:t>
            </m:r>
            <m:ctrlPr>
              <w:rPr>
                <w:rFonts w:ascii="Cambria Math" w:hAnsi="Cambria Math"/>
                <w:i/>
                <w:lang w:eastAsia="en-GB"/>
              </w:rPr>
            </m:ctrlPr>
          </m:sub>
        </m:sSub>
      </m:oMath>
      <w:r>
        <w:rPr>
          <w:lang w:eastAsia="en-GB"/>
        </w:rPr>
        <w:t xml:space="preserve"> for other channels is not changed until next timing advance is received. The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r>
          <m:rPr/>
          <w:rPr>
            <w:rFonts w:ascii="Cambria Math" w:hAnsi="Cambria Math"/>
            <w:lang w:eastAsia="en-GB"/>
          </w:rPr>
          <m:t xml:space="preserve"> </m:t>
        </m:r>
      </m:oMath>
      <w:r>
        <w:rPr>
          <w:lang w:eastAsia="en-GB"/>
        </w:rPr>
        <w:t>is defined in table 7.1.2-2.</w:t>
      </w:r>
    </w:p>
    <w:p w14:paraId="4A0C8992">
      <w:pPr>
        <w:rPr>
          <w:ins w:id="150" w:author="Yanze, Fu" w:date="2025-05-27T13:17:00Z"/>
        </w:rPr>
      </w:pPr>
      <w:r>
        <w:t>For multi-DCI based multi-TRP operation with two TAs</w:t>
      </w:r>
      <w:ins w:id="151" w:author="Yanze, Fu" w:date="2025-05-27T13:17:00Z">
        <w:r>
          <w:rPr/>
          <w:t xml:space="preserve"> and for </w:t>
        </w:r>
      </w:ins>
      <w:ins w:id="152" w:author="Yanze, Fu" w:date="2025-05-27T13:17:00Z">
        <w:r>
          <w:rPr>
            <w:rFonts w:hint="eastAsia"/>
          </w:rPr>
          <w:t xml:space="preserve">asymmetric DL sTRP/UL mTRP deployment </w:t>
        </w:r>
      </w:ins>
      <w:ins w:id="153" w:author="Yanze, Fu" w:date="2025-05-27T13:17:00Z">
        <w:r>
          <w:rPr/>
          <w:t>with two TAs</w:t>
        </w:r>
      </w:ins>
      <w:r>
        <w:t xml:space="preserve">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7FA6CBE">
      <w:pPr>
        <w:rPr>
          <w:ins w:id="154" w:author="Yanze, Fu" w:date="2025-05-27T13:17:00Z"/>
          <w:del w:id="155" w:author="CMCC-Jingjing" w:date="2025-08-28T17:32:44Z"/>
          <w:i/>
          <w:iCs/>
        </w:rPr>
      </w:pPr>
      <w:ins w:id="156" w:author="Yanze, Fu" w:date="2025-05-27T13:17:00Z">
        <w:del w:id="157" w:author="CMCC-Jingjing" w:date="2025-08-28T17:32:44Z">
          <w:r>
            <w:rPr>
              <w:i/>
              <w:iCs/>
            </w:rPr>
            <w:delText xml:space="preserve">Editor note:  For </w:delText>
          </w:r>
        </w:del>
      </w:ins>
      <w:ins w:id="158" w:author="Yanze, Fu" w:date="2025-05-27T13:17:00Z">
        <w:del w:id="159" w:author="CMCC-Jingjing" w:date="2025-08-28T17:32:44Z">
          <w:r>
            <w:rPr>
              <w:rFonts w:hint="eastAsia"/>
              <w:i/>
              <w:iCs/>
              <w:lang w:val="en-US" w:eastAsia="zh-CN"/>
            </w:rPr>
            <w:delText>terminology of</w:delText>
          </w:r>
        </w:del>
      </w:ins>
      <w:ins w:id="160" w:author="Yanze, Fu" w:date="2025-05-27T13:17:00Z">
        <w:del w:id="161" w:author="CMCC-Jingjing" w:date="2025-08-28T17:32:44Z">
          <w:r>
            <w:rPr>
              <w:i/>
              <w:iCs/>
            </w:rPr>
            <w:delText xml:space="preserve"> </w:delText>
          </w:r>
        </w:del>
      </w:ins>
      <w:ins w:id="162" w:author="Yanze, Fu" w:date="2025-05-27T13:17:00Z">
        <w:del w:id="163" w:author="CMCC-Jingjing" w:date="2025-08-28T17:32:44Z">
          <w:r>
            <w:rPr>
              <w:rFonts w:hint="eastAsia"/>
            </w:rPr>
            <w:delText xml:space="preserve">asymmetric DL sTRP/UL mTRP deployment </w:delText>
          </w:r>
        </w:del>
      </w:ins>
      <w:ins w:id="164" w:author="Yanze, Fu" w:date="2025-05-27T13:17:00Z">
        <w:del w:id="165" w:author="CMCC-Jingjing" w:date="2025-08-28T17:32:44Z">
          <w:r>
            <w:rPr/>
            <w:delText>with two TAs</w:delText>
          </w:r>
        </w:del>
      </w:ins>
      <w:ins w:id="166" w:author="Yanze, Fu" w:date="2025-05-27T13:17:00Z">
        <w:del w:id="167" w:author="CMCC-Jingjing" w:date="2025-08-28T17:32:44Z">
          <w:r>
            <w:rPr>
              <w:i/>
              <w:iCs/>
            </w:rPr>
            <w:delText xml:space="preserve">, they will be updated </w:delText>
          </w:r>
        </w:del>
      </w:ins>
      <w:ins w:id="168" w:author="Yanze, Fu" w:date="2025-05-27T13:17:00Z">
        <w:del w:id="169" w:author="CMCC-Jingjing" w:date="2025-08-28T17:32:44Z">
          <w:r>
            <w:rPr>
              <w:rFonts w:hint="eastAsia"/>
              <w:i/>
              <w:iCs/>
              <w:lang w:val="en-US" w:eastAsia="zh-CN"/>
            </w:rPr>
            <w:delText xml:space="preserve">based on </w:delText>
          </w:r>
        </w:del>
      </w:ins>
      <w:ins w:id="170" w:author="Yanze, Fu" w:date="2025-05-27T13:17:00Z">
        <w:del w:id="171" w:author="CMCC-Jingjing" w:date="2025-08-28T17:32:44Z">
          <w:r>
            <w:rPr>
              <w:i/>
              <w:iCs/>
            </w:rPr>
            <w:delText>UE capability name further.</w:delText>
          </w:r>
        </w:del>
      </w:ins>
    </w:p>
    <w:p w14:paraId="77C3A769"/>
    <w:p w14:paraId="5E0684BF">
      <w:pPr>
        <w:pStyle w:val="79"/>
      </w:pPr>
      <w:r>
        <w:t>Table 7.1.2-1: T</w:t>
      </w:r>
      <w:r>
        <w:rPr>
          <w:vertAlign w:val="subscript"/>
        </w:rPr>
        <w:t>e</w:t>
      </w:r>
      <w:r>
        <w:t xml:space="preserve"> Timing Error Limit</w:t>
      </w:r>
    </w:p>
    <w:tbl>
      <w:tblPr>
        <w:tblStyle w:val="60"/>
        <w:tblW w:w="44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4"/>
        <w:gridCol w:w="2443"/>
        <w:gridCol w:w="2607"/>
        <w:gridCol w:w="1838"/>
        <w:gridCol w:w="15"/>
      </w:tblGrid>
      <w:tr w14:paraId="1D2E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single" w:color="auto" w:sz="4" w:space="0"/>
              <w:right w:val="single" w:color="auto" w:sz="4" w:space="0"/>
            </w:tcBorders>
            <w:vAlign w:val="center"/>
          </w:tcPr>
          <w:p w14:paraId="3B1F8401">
            <w:pPr>
              <w:pStyle w:val="75"/>
            </w:pPr>
            <w:r>
              <w:t>Frequency Range</w:t>
            </w:r>
          </w:p>
        </w:tc>
        <w:tc>
          <w:tcPr>
            <w:tcW w:w="1408" w:type="pct"/>
            <w:tcBorders>
              <w:top w:val="single" w:color="auto" w:sz="4" w:space="0"/>
              <w:left w:val="single" w:color="auto" w:sz="4" w:space="0"/>
              <w:bottom w:val="single" w:color="auto" w:sz="4" w:space="0"/>
              <w:right w:val="single" w:color="auto" w:sz="4" w:space="0"/>
            </w:tcBorders>
            <w:vAlign w:val="center"/>
          </w:tcPr>
          <w:p w14:paraId="4317F46D">
            <w:pPr>
              <w:pStyle w:val="75"/>
            </w:pPr>
            <w:r>
              <w:t>SCS of SSB signals (kHz)</w:t>
            </w:r>
          </w:p>
        </w:tc>
        <w:tc>
          <w:tcPr>
            <w:tcW w:w="1502" w:type="pct"/>
            <w:tcBorders>
              <w:top w:val="single" w:color="auto" w:sz="4" w:space="0"/>
              <w:left w:val="single" w:color="auto" w:sz="4" w:space="0"/>
              <w:bottom w:val="single" w:color="auto" w:sz="4" w:space="0"/>
              <w:right w:val="single" w:color="auto" w:sz="4" w:space="0"/>
            </w:tcBorders>
            <w:vAlign w:val="center"/>
          </w:tcPr>
          <w:p w14:paraId="0908E02E">
            <w:pPr>
              <w:pStyle w:val="75"/>
            </w:pPr>
            <w:r>
              <w:t>SCS of uplink signals (kHz)</w:t>
            </w:r>
          </w:p>
        </w:tc>
        <w:tc>
          <w:tcPr>
            <w:tcW w:w="1059" w:type="pct"/>
            <w:tcBorders>
              <w:top w:val="single" w:color="auto" w:sz="4" w:space="0"/>
              <w:left w:val="single" w:color="auto" w:sz="4" w:space="0"/>
              <w:bottom w:val="single" w:color="auto" w:sz="4" w:space="0"/>
              <w:right w:val="single" w:color="auto" w:sz="4" w:space="0"/>
            </w:tcBorders>
            <w:vAlign w:val="center"/>
          </w:tcPr>
          <w:p w14:paraId="348CEB60">
            <w:pPr>
              <w:pStyle w:val="75"/>
            </w:pPr>
            <w:r>
              <w:t>T</w:t>
            </w:r>
            <w:r>
              <w:rPr>
                <w:vertAlign w:val="subscript"/>
              </w:rPr>
              <w:t>e</w:t>
            </w:r>
          </w:p>
        </w:tc>
      </w:tr>
      <w:tr w14:paraId="5151E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1E861F43">
            <w:pPr>
              <w:pStyle w:val="76"/>
            </w:pPr>
            <w:r>
              <w:t>1</w:t>
            </w:r>
          </w:p>
        </w:tc>
        <w:tc>
          <w:tcPr>
            <w:tcW w:w="1408" w:type="pct"/>
            <w:tcBorders>
              <w:top w:val="single" w:color="auto" w:sz="4" w:space="0"/>
              <w:left w:val="single" w:color="auto" w:sz="4" w:space="0"/>
              <w:bottom w:val="nil"/>
              <w:right w:val="single" w:color="auto" w:sz="4" w:space="0"/>
            </w:tcBorders>
            <w:vAlign w:val="center"/>
          </w:tcPr>
          <w:p w14:paraId="1A6A01DE">
            <w:pPr>
              <w:pStyle w:val="76"/>
            </w:pPr>
            <w:r>
              <w:t>15</w:t>
            </w:r>
          </w:p>
        </w:tc>
        <w:tc>
          <w:tcPr>
            <w:tcW w:w="1502" w:type="pct"/>
            <w:tcBorders>
              <w:top w:val="single" w:color="auto" w:sz="4" w:space="0"/>
              <w:left w:val="single" w:color="auto" w:sz="4" w:space="0"/>
              <w:bottom w:val="single" w:color="auto" w:sz="4" w:space="0"/>
              <w:right w:val="single" w:color="auto" w:sz="4" w:space="0"/>
            </w:tcBorders>
          </w:tcPr>
          <w:p w14:paraId="6FD661C9">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0E724872">
            <w:pPr>
              <w:pStyle w:val="76"/>
            </w:pPr>
            <w:r>
              <w:t>12*64*T</w:t>
            </w:r>
            <w:r>
              <w:rPr>
                <w:vertAlign w:val="subscript"/>
              </w:rPr>
              <w:t>c</w:t>
            </w:r>
          </w:p>
        </w:tc>
      </w:tr>
      <w:tr w14:paraId="3089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4EA1B75D">
            <w:pPr>
              <w:pStyle w:val="76"/>
            </w:pPr>
          </w:p>
        </w:tc>
        <w:tc>
          <w:tcPr>
            <w:tcW w:w="1408" w:type="pct"/>
            <w:tcBorders>
              <w:top w:val="nil"/>
              <w:left w:val="single" w:color="auto" w:sz="4" w:space="0"/>
              <w:bottom w:val="nil"/>
              <w:right w:val="single" w:color="auto" w:sz="4" w:space="0"/>
            </w:tcBorders>
            <w:vAlign w:val="center"/>
          </w:tcPr>
          <w:p w14:paraId="2D044513">
            <w:pPr>
              <w:pStyle w:val="76"/>
            </w:pPr>
          </w:p>
        </w:tc>
        <w:tc>
          <w:tcPr>
            <w:tcW w:w="1502" w:type="pct"/>
            <w:tcBorders>
              <w:top w:val="single" w:color="auto" w:sz="4" w:space="0"/>
              <w:left w:val="single" w:color="auto" w:sz="4" w:space="0"/>
              <w:bottom w:val="single" w:color="auto" w:sz="4" w:space="0"/>
              <w:right w:val="single" w:color="auto" w:sz="4" w:space="0"/>
            </w:tcBorders>
          </w:tcPr>
          <w:p w14:paraId="17DABF06">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3DDF09D8">
            <w:pPr>
              <w:pStyle w:val="76"/>
            </w:pPr>
            <w:r>
              <w:t>10*64*T</w:t>
            </w:r>
            <w:r>
              <w:rPr>
                <w:vertAlign w:val="subscript"/>
              </w:rPr>
              <w:t>c</w:t>
            </w:r>
          </w:p>
        </w:tc>
      </w:tr>
      <w:tr w14:paraId="256E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431C18A">
            <w:pPr>
              <w:pStyle w:val="76"/>
            </w:pPr>
          </w:p>
        </w:tc>
        <w:tc>
          <w:tcPr>
            <w:tcW w:w="1408" w:type="pct"/>
            <w:tcBorders>
              <w:top w:val="nil"/>
              <w:left w:val="single" w:color="auto" w:sz="4" w:space="0"/>
              <w:bottom w:val="single" w:color="auto" w:sz="4" w:space="0"/>
              <w:right w:val="single" w:color="auto" w:sz="4" w:space="0"/>
            </w:tcBorders>
            <w:vAlign w:val="center"/>
          </w:tcPr>
          <w:p w14:paraId="23DA8E92">
            <w:pPr>
              <w:pStyle w:val="76"/>
            </w:pPr>
          </w:p>
        </w:tc>
        <w:tc>
          <w:tcPr>
            <w:tcW w:w="1502" w:type="pct"/>
            <w:tcBorders>
              <w:top w:val="single" w:color="auto" w:sz="4" w:space="0"/>
              <w:left w:val="single" w:color="auto" w:sz="4" w:space="0"/>
              <w:bottom w:val="single" w:color="auto" w:sz="4" w:space="0"/>
              <w:right w:val="single" w:color="auto" w:sz="4" w:space="0"/>
            </w:tcBorders>
          </w:tcPr>
          <w:p w14:paraId="129C3CCD">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0ED53C13">
            <w:pPr>
              <w:pStyle w:val="76"/>
            </w:pPr>
            <w:r>
              <w:t>10*64*T</w:t>
            </w:r>
            <w:r>
              <w:rPr>
                <w:vertAlign w:val="subscript"/>
              </w:rPr>
              <w:t>c</w:t>
            </w:r>
          </w:p>
        </w:tc>
      </w:tr>
      <w:tr w14:paraId="02CF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13F9A1A8">
            <w:pPr>
              <w:pStyle w:val="76"/>
            </w:pPr>
          </w:p>
        </w:tc>
        <w:tc>
          <w:tcPr>
            <w:tcW w:w="1408" w:type="pct"/>
            <w:tcBorders>
              <w:top w:val="single" w:color="auto" w:sz="4" w:space="0"/>
              <w:left w:val="single" w:color="auto" w:sz="4" w:space="0"/>
              <w:bottom w:val="nil"/>
              <w:right w:val="single" w:color="auto" w:sz="4" w:space="0"/>
            </w:tcBorders>
            <w:vAlign w:val="center"/>
          </w:tcPr>
          <w:p w14:paraId="6ABB667F">
            <w:pPr>
              <w:pStyle w:val="76"/>
            </w:pPr>
            <w:r>
              <w:t>30</w:t>
            </w:r>
          </w:p>
        </w:tc>
        <w:tc>
          <w:tcPr>
            <w:tcW w:w="1502" w:type="pct"/>
            <w:tcBorders>
              <w:top w:val="single" w:color="auto" w:sz="4" w:space="0"/>
              <w:left w:val="single" w:color="auto" w:sz="4" w:space="0"/>
              <w:bottom w:val="single" w:color="auto" w:sz="4" w:space="0"/>
              <w:right w:val="single" w:color="auto" w:sz="4" w:space="0"/>
            </w:tcBorders>
          </w:tcPr>
          <w:p w14:paraId="32580661">
            <w:pPr>
              <w:pStyle w:val="76"/>
            </w:pPr>
            <w:r>
              <w:t>15</w:t>
            </w:r>
          </w:p>
        </w:tc>
        <w:tc>
          <w:tcPr>
            <w:tcW w:w="1059" w:type="pct"/>
            <w:tcBorders>
              <w:top w:val="single" w:color="auto" w:sz="4" w:space="0"/>
              <w:left w:val="single" w:color="auto" w:sz="4" w:space="0"/>
              <w:bottom w:val="single" w:color="auto" w:sz="4" w:space="0"/>
              <w:right w:val="single" w:color="auto" w:sz="4" w:space="0"/>
            </w:tcBorders>
          </w:tcPr>
          <w:p w14:paraId="75F994D2">
            <w:pPr>
              <w:pStyle w:val="76"/>
            </w:pPr>
            <w:r>
              <w:t>8*64*T</w:t>
            </w:r>
            <w:r>
              <w:rPr>
                <w:vertAlign w:val="subscript"/>
              </w:rPr>
              <w:t>c</w:t>
            </w:r>
          </w:p>
        </w:tc>
      </w:tr>
      <w:tr w14:paraId="0EF4F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628FE81C">
            <w:pPr>
              <w:pStyle w:val="76"/>
            </w:pPr>
          </w:p>
        </w:tc>
        <w:tc>
          <w:tcPr>
            <w:tcW w:w="1408" w:type="pct"/>
            <w:tcBorders>
              <w:top w:val="nil"/>
              <w:left w:val="single" w:color="auto" w:sz="4" w:space="0"/>
              <w:bottom w:val="nil"/>
              <w:right w:val="single" w:color="auto" w:sz="4" w:space="0"/>
            </w:tcBorders>
            <w:vAlign w:val="center"/>
          </w:tcPr>
          <w:p w14:paraId="45C85B22">
            <w:pPr>
              <w:pStyle w:val="76"/>
            </w:pPr>
          </w:p>
        </w:tc>
        <w:tc>
          <w:tcPr>
            <w:tcW w:w="1502" w:type="pct"/>
            <w:tcBorders>
              <w:top w:val="single" w:color="auto" w:sz="4" w:space="0"/>
              <w:left w:val="single" w:color="auto" w:sz="4" w:space="0"/>
              <w:bottom w:val="single" w:color="auto" w:sz="4" w:space="0"/>
              <w:right w:val="single" w:color="auto" w:sz="4" w:space="0"/>
            </w:tcBorders>
          </w:tcPr>
          <w:p w14:paraId="325CF37B">
            <w:pPr>
              <w:pStyle w:val="76"/>
            </w:pPr>
            <w:r>
              <w:t>30</w:t>
            </w:r>
          </w:p>
        </w:tc>
        <w:tc>
          <w:tcPr>
            <w:tcW w:w="1059" w:type="pct"/>
            <w:tcBorders>
              <w:top w:val="single" w:color="auto" w:sz="4" w:space="0"/>
              <w:left w:val="single" w:color="auto" w:sz="4" w:space="0"/>
              <w:bottom w:val="single" w:color="auto" w:sz="4" w:space="0"/>
              <w:right w:val="single" w:color="auto" w:sz="4" w:space="0"/>
            </w:tcBorders>
          </w:tcPr>
          <w:p w14:paraId="32F57E24">
            <w:pPr>
              <w:pStyle w:val="76"/>
            </w:pPr>
            <w:r>
              <w:t>8*64*T</w:t>
            </w:r>
            <w:r>
              <w:rPr>
                <w:vertAlign w:val="subscript"/>
              </w:rPr>
              <w:t>c</w:t>
            </w:r>
          </w:p>
        </w:tc>
      </w:tr>
      <w:tr w14:paraId="783A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vAlign w:val="center"/>
          </w:tcPr>
          <w:p w14:paraId="66C23473">
            <w:pPr>
              <w:pStyle w:val="76"/>
            </w:pPr>
          </w:p>
        </w:tc>
        <w:tc>
          <w:tcPr>
            <w:tcW w:w="1408" w:type="pct"/>
            <w:tcBorders>
              <w:top w:val="nil"/>
              <w:left w:val="single" w:color="auto" w:sz="4" w:space="0"/>
              <w:bottom w:val="single" w:color="auto" w:sz="4" w:space="0"/>
              <w:right w:val="single" w:color="auto" w:sz="4" w:space="0"/>
            </w:tcBorders>
            <w:vAlign w:val="center"/>
          </w:tcPr>
          <w:p w14:paraId="43630A2D">
            <w:pPr>
              <w:pStyle w:val="76"/>
            </w:pPr>
          </w:p>
        </w:tc>
        <w:tc>
          <w:tcPr>
            <w:tcW w:w="1502" w:type="pct"/>
            <w:tcBorders>
              <w:top w:val="single" w:color="auto" w:sz="4" w:space="0"/>
              <w:left w:val="single" w:color="auto" w:sz="4" w:space="0"/>
              <w:bottom w:val="single" w:color="auto" w:sz="4" w:space="0"/>
              <w:right w:val="single" w:color="auto" w:sz="4" w:space="0"/>
            </w:tcBorders>
          </w:tcPr>
          <w:p w14:paraId="498A377D">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567F99C4">
            <w:pPr>
              <w:pStyle w:val="76"/>
            </w:pPr>
            <w:r>
              <w:t>7*64*T</w:t>
            </w:r>
            <w:r>
              <w:rPr>
                <w:vertAlign w:val="subscript"/>
              </w:rPr>
              <w:t>c</w:t>
            </w:r>
          </w:p>
        </w:tc>
      </w:tr>
      <w:tr w14:paraId="4779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vAlign w:val="center"/>
          </w:tcPr>
          <w:p w14:paraId="022A973E">
            <w:pPr>
              <w:pStyle w:val="76"/>
            </w:pPr>
            <w:r>
              <w:t>2-1</w:t>
            </w:r>
          </w:p>
        </w:tc>
        <w:tc>
          <w:tcPr>
            <w:tcW w:w="1408" w:type="pct"/>
            <w:tcBorders>
              <w:top w:val="single" w:color="auto" w:sz="4" w:space="0"/>
              <w:left w:val="single" w:color="auto" w:sz="4" w:space="0"/>
              <w:bottom w:val="nil"/>
              <w:right w:val="single" w:color="auto" w:sz="4" w:space="0"/>
            </w:tcBorders>
            <w:vAlign w:val="center"/>
          </w:tcPr>
          <w:p w14:paraId="36F8D69A">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034DAAD1">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559EC860">
            <w:pPr>
              <w:pStyle w:val="76"/>
            </w:pPr>
            <w:r>
              <w:t>3.5*64*T</w:t>
            </w:r>
            <w:r>
              <w:rPr>
                <w:vertAlign w:val="subscript"/>
              </w:rPr>
              <w:t>c</w:t>
            </w:r>
          </w:p>
        </w:tc>
      </w:tr>
      <w:tr w14:paraId="69CB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2B229F54">
            <w:pPr>
              <w:pStyle w:val="76"/>
            </w:pPr>
          </w:p>
        </w:tc>
        <w:tc>
          <w:tcPr>
            <w:tcW w:w="1408" w:type="pct"/>
            <w:tcBorders>
              <w:top w:val="nil"/>
              <w:left w:val="single" w:color="auto" w:sz="4" w:space="0"/>
              <w:bottom w:val="single" w:color="auto" w:sz="4" w:space="0"/>
              <w:right w:val="single" w:color="auto" w:sz="4" w:space="0"/>
            </w:tcBorders>
            <w:vAlign w:val="center"/>
          </w:tcPr>
          <w:p w14:paraId="6A47238B">
            <w:pPr>
              <w:pStyle w:val="76"/>
            </w:pPr>
          </w:p>
        </w:tc>
        <w:tc>
          <w:tcPr>
            <w:tcW w:w="1502" w:type="pct"/>
            <w:tcBorders>
              <w:top w:val="single" w:color="auto" w:sz="4" w:space="0"/>
              <w:left w:val="single" w:color="auto" w:sz="4" w:space="0"/>
              <w:bottom w:val="single" w:color="auto" w:sz="4" w:space="0"/>
              <w:right w:val="single" w:color="auto" w:sz="4" w:space="0"/>
            </w:tcBorders>
          </w:tcPr>
          <w:p w14:paraId="462B7705">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0C81C766">
            <w:pPr>
              <w:pStyle w:val="76"/>
            </w:pPr>
            <w:r>
              <w:t>3.5*64*T</w:t>
            </w:r>
            <w:r>
              <w:rPr>
                <w:vertAlign w:val="subscript"/>
              </w:rPr>
              <w:t>c</w:t>
            </w:r>
          </w:p>
        </w:tc>
      </w:tr>
      <w:tr w14:paraId="2338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vAlign w:val="center"/>
          </w:tcPr>
          <w:p w14:paraId="346D5622">
            <w:pPr>
              <w:pStyle w:val="76"/>
            </w:pPr>
          </w:p>
        </w:tc>
        <w:tc>
          <w:tcPr>
            <w:tcW w:w="1408" w:type="pct"/>
            <w:tcBorders>
              <w:top w:val="single" w:color="auto" w:sz="4" w:space="0"/>
              <w:left w:val="single" w:color="auto" w:sz="4" w:space="0"/>
              <w:bottom w:val="nil"/>
              <w:right w:val="single" w:color="auto" w:sz="4" w:space="0"/>
            </w:tcBorders>
            <w:vAlign w:val="center"/>
          </w:tcPr>
          <w:p w14:paraId="618E2EFD">
            <w:pPr>
              <w:pStyle w:val="76"/>
            </w:pPr>
            <w:r>
              <w:t>240</w:t>
            </w:r>
          </w:p>
        </w:tc>
        <w:tc>
          <w:tcPr>
            <w:tcW w:w="1502" w:type="pct"/>
            <w:tcBorders>
              <w:top w:val="single" w:color="auto" w:sz="4" w:space="0"/>
              <w:left w:val="single" w:color="auto" w:sz="4" w:space="0"/>
              <w:bottom w:val="single" w:color="auto" w:sz="4" w:space="0"/>
              <w:right w:val="single" w:color="auto" w:sz="4" w:space="0"/>
            </w:tcBorders>
          </w:tcPr>
          <w:p w14:paraId="26AD9B8B">
            <w:pPr>
              <w:pStyle w:val="76"/>
            </w:pPr>
            <w:r>
              <w:t>60</w:t>
            </w:r>
          </w:p>
        </w:tc>
        <w:tc>
          <w:tcPr>
            <w:tcW w:w="1059" w:type="pct"/>
            <w:tcBorders>
              <w:top w:val="single" w:color="auto" w:sz="4" w:space="0"/>
              <w:left w:val="single" w:color="auto" w:sz="4" w:space="0"/>
              <w:bottom w:val="single" w:color="auto" w:sz="4" w:space="0"/>
              <w:right w:val="single" w:color="auto" w:sz="4" w:space="0"/>
            </w:tcBorders>
          </w:tcPr>
          <w:p w14:paraId="6D34F218">
            <w:pPr>
              <w:pStyle w:val="76"/>
            </w:pPr>
            <w:r>
              <w:t>3*64*T</w:t>
            </w:r>
            <w:r>
              <w:rPr>
                <w:vertAlign w:val="subscript"/>
              </w:rPr>
              <w:t>c</w:t>
            </w:r>
          </w:p>
        </w:tc>
      </w:tr>
      <w:tr w14:paraId="6B5B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475FE7CC">
            <w:pPr>
              <w:pStyle w:val="76"/>
            </w:pPr>
          </w:p>
        </w:tc>
        <w:tc>
          <w:tcPr>
            <w:tcW w:w="1408" w:type="pct"/>
            <w:tcBorders>
              <w:top w:val="nil"/>
              <w:left w:val="single" w:color="auto" w:sz="4" w:space="0"/>
              <w:bottom w:val="single" w:color="auto" w:sz="4" w:space="0"/>
              <w:right w:val="single" w:color="auto" w:sz="4" w:space="0"/>
            </w:tcBorders>
          </w:tcPr>
          <w:p w14:paraId="454C5FDD">
            <w:pPr>
              <w:pStyle w:val="76"/>
            </w:pPr>
          </w:p>
        </w:tc>
        <w:tc>
          <w:tcPr>
            <w:tcW w:w="1502" w:type="pct"/>
            <w:tcBorders>
              <w:top w:val="single" w:color="auto" w:sz="4" w:space="0"/>
              <w:left w:val="single" w:color="auto" w:sz="4" w:space="0"/>
              <w:bottom w:val="single" w:color="auto" w:sz="4" w:space="0"/>
              <w:right w:val="single" w:color="auto" w:sz="4" w:space="0"/>
            </w:tcBorders>
          </w:tcPr>
          <w:p w14:paraId="1E068A90">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7BFE71A7">
            <w:pPr>
              <w:pStyle w:val="76"/>
            </w:pPr>
            <w:r>
              <w:t>3*64*T</w:t>
            </w:r>
            <w:r>
              <w:rPr>
                <w:vertAlign w:val="subscript"/>
              </w:rPr>
              <w:t>c</w:t>
            </w:r>
          </w:p>
        </w:tc>
      </w:tr>
      <w:tr w14:paraId="7101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single" w:color="auto" w:sz="4" w:space="0"/>
              <w:left w:val="single" w:color="auto" w:sz="4" w:space="0"/>
              <w:bottom w:val="nil"/>
              <w:right w:val="single" w:color="auto" w:sz="4" w:space="0"/>
            </w:tcBorders>
          </w:tcPr>
          <w:p w14:paraId="1F472D13">
            <w:pPr>
              <w:pStyle w:val="76"/>
            </w:pPr>
            <w:r>
              <w:t>2-2</w:t>
            </w:r>
          </w:p>
        </w:tc>
        <w:tc>
          <w:tcPr>
            <w:tcW w:w="1408" w:type="pct"/>
            <w:tcBorders>
              <w:top w:val="single" w:color="auto" w:sz="4" w:space="0"/>
              <w:left w:val="single" w:color="auto" w:sz="4" w:space="0"/>
              <w:bottom w:val="nil"/>
              <w:right w:val="single" w:color="auto" w:sz="4" w:space="0"/>
            </w:tcBorders>
          </w:tcPr>
          <w:p w14:paraId="0898E1C9">
            <w:pPr>
              <w:pStyle w:val="76"/>
            </w:pPr>
            <w:r>
              <w:t>120</w:t>
            </w:r>
          </w:p>
        </w:tc>
        <w:tc>
          <w:tcPr>
            <w:tcW w:w="1502" w:type="pct"/>
            <w:tcBorders>
              <w:top w:val="single" w:color="auto" w:sz="4" w:space="0"/>
              <w:left w:val="single" w:color="auto" w:sz="4" w:space="0"/>
              <w:bottom w:val="single" w:color="auto" w:sz="4" w:space="0"/>
              <w:right w:val="single" w:color="auto" w:sz="4" w:space="0"/>
            </w:tcBorders>
          </w:tcPr>
          <w:p w14:paraId="6C1A921E">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2646848">
            <w:pPr>
              <w:pStyle w:val="76"/>
            </w:pPr>
            <w:r>
              <w:t>3.5*64*T</w:t>
            </w:r>
            <w:r>
              <w:rPr>
                <w:vertAlign w:val="subscript"/>
              </w:rPr>
              <w:t>c</w:t>
            </w:r>
          </w:p>
        </w:tc>
      </w:tr>
      <w:tr w14:paraId="0C76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5FEC180C">
            <w:pPr>
              <w:pStyle w:val="76"/>
            </w:pPr>
          </w:p>
        </w:tc>
        <w:tc>
          <w:tcPr>
            <w:tcW w:w="1408" w:type="pct"/>
            <w:tcBorders>
              <w:top w:val="nil"/>
              <w:left w:val="single" w:color="auto" w:sz="4" w:space="0"/>
              <w:bottom w:val="single" w:color="auto" w:sz="4" w:space="0"/>
              <w:right w:val="single" w:color="auto" w:sz="4" w:space="0"/>
            </w:tcBorders>
          </w:tcPr>
          <w:p w14:paraId="7F636A2F">
            <w:pPr>
              <w:pStyle w:val="76"/>
            </w:pPr>
          </w:p>
        </w:tc>
        <w:tc>
          <w:tcPr>
            <w:tcW w:w="1502" w:type="pct"/>
            <w:tcBorders>
              <w:top w:val="single" w:color="auto" w:sz="4" w:space="0"/>
              <w:left w:val="single" w:color="auto" w:sz="4" w:space="0"/>
              <w:bottom w:val="single" w:color="auto" w:sz="4" w:space="0"/>
              <w:right w:val="single" w:color="auto" w:sz="4" w:space="0"/>
            </w:tcBorders>
          </w:tcPr>
          <w:p w14:paraId="23ED8782">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6A745892">
            <w:pPr>
              <w:pStyle w:val="76"/>
            </w:pPr>
            <w:r>
              <w:t>1.58*64*T</w:t>
            </w:r>
            <w:r>
              <w:rPr>
                <w:vertAlign w:val="subscript"/>
              </w:rPr>
              <w:t>c</w:t>
            </w:r>
          </w:p>
        </w:tc>
      </w:tr>
      <w:tr w14:paraId="7FF8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444E2A28">
            <w:pPr>
              <w:pStyle w:val="76"/>
            </w:pPr>
          </w:p>
        </w:tc>
        <w:tc>
          <w:tcPr>
            <w:tcW w:w="1408" w:type="pct"/>
            <w:tcBorders>
              <w:top w:val="single" w:color="auto" w:sz="4" w:space="0"/>
              <w:left w:val="single" w:color="auto" w:sz="4" w:space="0"/>
              <w:bottom w:val="nil"/>
              <w:right w:val="single" w:color="auto" w:sz="4" w:space="0"/>
            </w:tcBorders>
          </w:tcPr>
          <w:p w14:paraId="05B40FA9">
            <w:pPr>
              <w:pStyle w:val="76"/>
            </w:pPr>
            <w:r>
              <w:t>480</w:t>
            </w:r>
          </w:p>
        </w:tc>
        <w:tc>
          <w:tcPr>
            <w:tcW w:w="1502" w:type="pct"/>
            <w:tcBorders>
              <w:top w:val="single" w:color="auto" w:sz="4" w:space="0"/>
              <w:left w:val="single" w:color="auto" w:sz="4" w:space="0"/>
              <w:bottom w:val="single" w:color="auto" w:sz="4" w:space="0"/>
              <w:right w:val="single" w:color="auto" w:sz="4" w:space="0"/>
            </w:tcBorders>
          </w:tcPr>
          <w:p w14:paraId="67C972AD">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36413E1A">
            <w:pPr>
              <w:pStyle w:val="76"/>
            </w:pPr>
            <w:r>
              <w:t>2.86*64*T</w:t>
            </w:r>
            <w:r>
              <w:rPr>
                <w:vertAlign w:val="subscript"/>
              </w:rPr>
              <w:t>c</w:t>
            </w:r>
          </w:p>
        </w:tc>
      </w:tr>
      <w:tr w14:paraId="78F8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6E81C17D">
            <w:pPr>
              <w:pStyle w:val="76"/>
            </w:pPr>
          </w:p>
        </w:tc>
        <w:tc>
          <w:tcPr>
            <w:tcW w:w="1408" w:type="pct"/>
            <w:tcBorders>
              <w:top w:val="nil"/>
              <w:left w:val="single" w:color="auto" w:sz="4" w:space="0"/>
              <w:bottom w:val="nil"/>
              <w:right w:val="single" w:color="auto" w:sz="4" w:space="0"/>
            </w:tcBorders>
          </w:tcPr>
          <w:p w14:paraId="02E8C356">
            <w:pPr>
              <w:pStyle w:val="76"/>
            </w:pPr>
          </w:p>
        </w:tc>
        <w:tc>
          <w:tcPr>
            <w:tcW w:w="1502" w:type="pct"/>
            <w:tcBorders>
              <w:top w:val="single" w:color="auto" w:sz="4" w:space="0"/>
              <w:left w:val="single" w:color="auto" w:sz="4" w:space="0"/>
              <w:bottom w:val="single" w:color="auto" w:sz="4" w:space="0"/>
              <w:right w:val="single" w:color="auto" w:sz="4" w:space="0"/>
            </w:tcBorders>
          </w:tcPr>
          <w:p w14:paraId="369A7583">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5E9AF011">
            <w:pPr>
              <w:pStyle w:val="76"/>
            </w:pPr>
            <w:r>
              <w:t>1.35*64*T</w:t>
            </w:r>
            <w:r>
              <w:rPr>
                <w:vertAlign w:val="subscript"/>
              </w:rPr>
              <w:t>c</w:t>
            </w:r>
          </w:p>
        </w:tc>
      </w:tr>
      <w:tr w14:paraId="130A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76042D93">
            <w:pPr>
              <w:pStyle w:val="76"/>
            </w:pPr>
          </w:p>
        </w:tc>
        <w:tc>
          <w:tcPr>
            <w:tcW w:w="1408" w:type="pct"/>
            <w:tcBorders>
              <w:top w:val="nil"/>
              <w:left w:val="single" w:color="auto" w:sz="4" w:space="0"/>
              <w:bottom w:val="single" w:color="auto" w:sz="4" w:space="0"/>
              <w:right w:val="single" w:color="auto" w:sz="4" w:space="0"/>
            </w:tcBorders>
          </w:tcPr>
          <w:p w14:paraId="195564CE">
            <w:pPr>
              <w:pStyle w:val="76"/>
            </w:pPr>
          </w:p>
        </w:tc>
        <w:tc>
          <w:tcPr>
            <w:tcW w:w="1502" w:type="pct"/>
            <w:tcBorders>
              <w:top w:val="single" w:color="auto" w:sz="4" w:space="0"/>
              <w:left w:val="single" w:color="auto" w:sz="4" w:space="0"/>
              <w:bottom w:val="single" w:color="auto" w:sz="4" w:space="0"/>
              <w:right w:val="single" w:color="auto" w:sz="4" w:space="0"/>
            </w:tcBorders>
          </w:tcPr>
          <w:p w14:paraId="7C08E4CF">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7C3EDF51">
            <w:pPr>
              <w:pStyle w:val="76"/>
            </w:pPr>
            <w:r>
              <w:t>0.90*64*T</w:t>
            </w:r>
            <w:r>
              <w:rPr>
                <w:vertAlign w:val="subscript"/>
              </w:rPr>
              <w:t>c</w:t>
            </w:r>
          </w:p>
        </w:tc>
      </w:tr>
      <w:tr w14:paraId="77F19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847B6ED">
            <w:pPr>
              <w:pStyle w:val="76"/>
            </w:pPr>
          </w:p>
        </w:tc>
        <w:tc>
          <w:tcPr>
            <w:tcW w:w="1408" w:type="pct"/>
            <w:tcBorders>
              <w:top w:val="single" w:color="auto" w:sz="4" w:space="0"/>
              <w:left w:val="single" w:color="auto" w:sz="4" w:space="0"/>
              <w:bottom w:val="nil"/>
              <w:right w:val="single" w:color="auto" w:sz="4" w:space="0"/>
            </w:tcBorders>
          </w:tcPr>
          <w:p w14:paraId="42416648">
            <w:pPr>
              <w:pStyle w:val="76"/>
            </w:pPr>
            <w:r>
              <w:t>960</w:t>
            </w:r>
          </w:p>
        </w:tc>
        <w:tc>
          <w:tcPr>
            <w:tcW w:w="1502" w:type="pct"/>
            <w:tcBorders>
              <w:top w:val="single" w:color="auto" w:sz="4" w:space="0"/>
              <w:left w:val="single" w:color="auto" w:sz="4" w:space="0"/>
              <w:bottom w:val="single" w:color="auto" w:sz="4" w:space="0"/>
              <w:right w:val="single" w:color="auto" w:sz="4" w:space="0"/>
            </w:tcBorders>
          </w:tcPr>
          <w:p w14:paraId="61FDBD3C">
            <w:pPr>
              <w:pStyle w:val="76"/>
            </w:pPr>
            <w:r>
              <w:t>120</w:t>
            </w:r>
          </w:p>
        </w:tc>
        <w:tc>
          <w:tcPr>
            <w:tcW w:w="1059" w:type="pct"/>
            <w:tcBorders>
              <w:top w:val="single" w:color="auto" w:sz="4" w:space="0"/>
              <w:left w:val="single" w:color="auto" w:sz="4" w:space="0"/>
              <w:bottom w:val="single" w:color="auto" w:sz="4" w:space="0"/>
              <w:right w:val="single" w:color="auto" w:sz="4" w:space="0"/>
            </w:tcBorders>
          </w:tcPr>
          <w:p w14:paraId="5E5181E8">
            <w:pPr>
              <w:pStyle w:val="76"/>
            </w:pPr>
            <w:r>
              <w:t>2.80*64*T</w:t>
            </w:r>
            <w:r>
              <w:rPr>
                <w:vertAlign w:val="subscript"/>
              </w:rPr>
              <w:t>c</w:t>
            </w:r>
          </w:p>
        </w:tc>
      </w:tr>
      <w:tr w14:paraId="05F5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nil"/>
              <w:right w:val="single" w:color="auto" w:sz="4" w:space="0"/>
            </w:tcBorders>
          </w:tcPr>
          <w:p w14:paraId="0B14EC00">
            <w:pPr>
              <w:pStyle w:val="76"/>
            </w:pPr>
          </w:p>
        </w:tc>
        <w:tc>
          <w:tcPr>
            <w:tcW w:w="1408" w:type="pct"/>
            <w:tcBorders>
              <w:top w:val="nil"/>
              <w:left w:val="single" w:color="auto" w:sz="4" w:space="0"/>
              <w:bottom w:val="nil"/>
              <w:right w:val="single" w:color="auto" w:sz="4" w:space="0"/>
            </w:tcBorders>
          </w:tcPr>
          <w:p w14:paraId="3CAE6A62">
            <w:pPr>
              <w:pStyle w:val="76"/>
            </w:pPr>
          </w:p>
        </w:tc>
        <w:tc>
          <w:tcPr>
            <w:tcW w:w="1502" w:type="pct"/>
            <w:tcBorders>
              <w:top w:val="single" w:color="auto" w:sz="4" w:space="0"/>
              <w:left w:val="single" w:color="auto" w:sz="4" w:space="0"/>
              <w:bottom w:val="single" w:color="auto" w:sz="4" w:space="0"/>
              <w:right w:val="single" w:color="auto" w:sz="4" w:space="0"/>
            </w:tcBorders>
          </w:tcPr>
          <w:p w14:paraId="0A33F5CA">
            <w:pPr>
              <w:pStyle w:val="76"/>
            </w:pPr>
            <w:r>
              <w:t>480</w:t>
            </w:r>
          </w:p>
        </w:tc>
        <w:tc>
          <w:tcPr>
            <w:tcW w:w="1059" w:type="pct"/>
            <w:tcBorders>
              <w:top w:val="single" w:color="auto" w:sz="4" w:space="0"/>
              <w:left w:val="single" w:color="auto" w:sz="4" w:space="0"/>
              <w:bottom w:val="single" w:color="auto" w:sz="4" w:space="0"/>
              <w:right w:val="single" w:color="auto" w:sz="4" w:space="0"/>
            </w:tcBorders>
          </w:tcPr>
          <w:p w14:paraId="0669051A">
            <w:pPr>
              <w:pStyle w:val="76"/>
            </w:pPr>
            <w:r>
              <w:t>1.13*64*T</w:t>
            </w:r>
            <w:r>
              <w:rPr>
                <w:vertAlign w:val="subscript"/>
              </w:rPr>
              <w:t>c</w:t>
            </w:r>
          </w:p>
        </w:tc>
      </w:tr>
      <w:tr w14:paraId="548A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9" w:type="pct"/>
          <w:cantSplit/>
          <w:jc w:val="center"/>
        </w:trPr>
        <w:tc>
          <w:tcPr>
            <w:tcW w:w="1022" w:type="pct"/>
            <w:tcBorders>
              <w:top w:val="nil"/>
              <w:left w:val="single" w:color="auto" w:sz="4" w:space="0"/>
              <w:bottom w:val="single" w:color="auto" w:sz="4" w:space="0"/>
              <w:right w:val="single" w:color="auto" w:sz="4" w:space="0"/>
            </w:tcBorders>
          </w:tcPr>
          <w:p w14:paraId="331E3235">
            <w:pPr>
              <w:pStyle w:val="76"/>
            </w:pPr>
          </w:p>
        </w:tc>
        <w:tc>
          <w:tcPr>
            <w:tcW w:w="1408" w:type="pct"/>
            <w:tcBorders>
              <w:top w:val="nil"/>
              <w:left w:val="single" w:color="auto" w:sz="4" w:space="0"/>
              <w:bottom w:val="single" w:color="auto" w:sz="4" w:space="0"/>
              <w:right w:val="single" w:color="auto" w:sz="4" w:space="0"/>
            </w:tcBorders>
          </w:tcPr>
          <w:p w14:paraId="2878FB50">
            <w:pPr>
              <w:pStyle w:val="76"/>
            </w:pPr>
          </w:p>
        </w:tc>
        <w:tc>
          <w:tcPr>
            <w:tcW w:w="1502" w:type="pct"/>
            <w:tcBorders>
              <w:top w:val="single" w:color="auto" w:sz="4" w:space="0"/>
              <w:left w:val="single" w:color="auto" w:sz="4" w:space="0"/>
              <w:bottom w:val="single" w:color="auto" w:sz="4" w:space="0"/>
              <w:right w:val="single" w:color="auto" w:sz="4" w:space="0"/>
            </w:tcBorders>
          </w:tcPr>
          <w:p w14:paraId="444E00A8">
            <w:pPr>
              <w:pStyle w:val="76"/>
            </w:pPr>
            <w:r>
              <w:t>960</w:t>
            </w:r>
          </w:p>
        </w:tc>
        <w:tc>
          <w:tcPr>
            <w:tcW w:w="1059" w:type="pct"/>
            <w:tcBorders>
              <w:top w:val="single" w:color="auto" w:sz="4" w:space="0"/>
              <w:left w:val="single" w:color="auto" w:sz="4" w:space="0"/>
              <w:bottom w:val="single" w:color="auto" w:sz="4" w:space="0"/>
              <w:right w:val="single" w:color="auto" w:sz="4" w:space="0"/>
            </w:tcBorders>
          </w:tcPr>
          <w:p w14:paraId="7F7C09A4">
            <w:pPr>
              <w:pStyle w:val="76"/>
            </w:pPr>
            <w:r>
              <w:t>0.86*64*T</w:t>
            </w:r>
            <w:r>
              <w:rPr>
                <w:vertAlign w:val="subscript"/>
              </w:rPr>
              <w:t>c</w:t>
            </w:r>
          </w:p>
        </w:tc>
      </w:tr>
      <w:tr w14:paraId="50CF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6AD6E2FE">
            <w:pPr>
              <w:pStyle w:val="90"/>
            </w:pPr>
            <w:r>
              <w:rPr>
                <w:rFonts w:cs="Arial"/>
              </w:rPr>
              <w:t>NOTE</w:t>
            </w:r>
            <w:r>
              <w:t xml:space="preserve"> 1:</w:t>
            </w:r>
            <w:r>
              <w:tab/>
            </w:r>
            <w:r>
              <w:t>T</w:t>
            </w:r>
            <w:r>
              <w:rPr>
                <w:vertAlign w:val="subscript"/>
              </w:rPr>
              <w:t>c</w:t>
            </w:r>
            <w:r>
              <w:t xml:space="preserve"> is the basic timing unit defined in TS 38.211 [6]</w:t>
            </w:r>
          </w:p>
        </w:tc>
      </w:tr>
    </w:tbl>
    <w:p w14:paraId="323F2E73"/>
    <w:p w14:paraId="3CE5D0F0">
      <w:pPr>
        <w:pStyle w:val="79"/>
        <w:rPr>
          <w:lang w:eastAsia="en-GB"/>
        </w:rPr>
      </w:pPr>
      <w:r>
        <w:rPr>
          <w:lang w:eastAsia="en-GB"/>
        </w:rPr>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oMath>
    </w:p>
    <w:tbl>
      <w:tblPr>
        <w:tblStyle w:val="60"/>
        <w:tblW w:w="3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2496"/>
      </w:tblGrid>
      <w:tr w14:paraId="3321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578D54E3">
            <w:pPr>
              <w:pStyle w:val="75"/>
              <w:rPr>
                <w:lang w:eastAsia="zh-CN"/>
              </w:rPr>
            </w:pPr>
            <w:r>
              <w:rPr>
                <w:lang w:eastAsia="en-GB"/>
              </w:rPr>
              <w:t>Frequency range and band of cell used for uplink transmission</w:t>
            </w:r>
          </w:p>
        </w:tc>
        <w:tc>
          <w:tcPr>
            <w:tcW w:w="1714" w:type="pct"/>
          </w:tcPr>
          <w:p w14:paraId="63FE702A">
            <w:pPr>
              <w:pStyle w:val="75"/>
              <w:rPr>
                <w:lang w:eastAsia="en-GB"/>
              </w:rPr>
            </w:pPr>
            <m:oMath>
              <m:sSub>
                <m:sSubPr>
                  <m:ctrlPr>
                    <w:rPr>
                      <w:rFonts w:ascii="Cambria Math" w:hAnsi="Cambria Math"/>
                      <w:i/>
                      <w:lang w:eastAsia="en-GB"/>
                    </w:rPr>
                  </m:ctrlPr>
                </m:sSubPr>
                <m:e>
                  <m:r>
                    <m:rPr>
                      <m:sty m:val="bi"/>
                    </m:rPr>
                    <w:rPr>
                      <w:rFonts w:ascii="Cambria Math" w:hAnsi="Cambria Math"/>
                      <w:lang w:eastAsia="en-GB"/>
                    </w:rPr>
                    <m:t>N</m:t>
                  </m:r>
                  <m:ctrlPr>
                    <w:rPr>
                      <w:rFonts w:ascii="Cambria Math" w:hAnsi="Cambria Math"/>
                      <w:i/>
                      <w:lang w:eastAsia="en-GB"/>
                    </w:rPr>
                  </m:ctrlPr>
                </m:e>
                <m:sub>
                  <m:r>
                    <m:rPr>
                      <m:sty m:val="b"/>
                    </m:rPr>
                    <w:rPr>
                      <w:rFonts w:ascii="Cambria Math" w:hAnsi="Cambria Math"/>
                      <w:lang w:eastAsia="en-GB"/>
                    </w:rPr>
                    <m:t>TA offset</m:t>
                  </m:r>
                  <m:ctrlPr>
                    <w:rPr>
                      <w:rFonts w:ascii="Cambria Math" w:hAnsi="Cambria Math"/>
                      <w:i/>
                      <w:lang w:eastAsia="en-GB"/>
                    </w:rPr>
                  </m:ctrlPr>
                </m:sub>
              </m:sSub>
              <m:r>
                <m:rPr>
                  <m:sty m:val="bi"/>
                </m:rPr>
                <w:rPr>
                  <w:rFonts w:ascii="Cambria Math" w:hAnsi="Cambria Math"/>
                  <w:lang w:eastAsia="en-GB"/>
                </w:rPr>
                <m:t xml:space="preserve"> </m:t>
              </m:r>
            </m:oMath>
            <w:r>
              <w:rPr>
                <w:lang w:eastAsia="en-GB"/>
              </w:rPr>
              <w:t>(Unit: T</w:t>
            </w:r>
            <w:r>
              <w:rPr>
                <w:vertAlign w:val="subscript"/>
                <w:lang w:eastAsia="en-GB"/>
              </w:rPr>
              <w:t>C</w:t>
            </w:r>
            <w:r>
              <w:rPr>
                <w:lang w:eastAsia="en-GB"/>
              </w:rPr>
              <w:t>)</w:t>
            </w:r>
          </w:p>
        </w:tc>
      </w:tr>
      <w:tr w14:paraId="278B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3637D7E4">
            <w:pPr>
              <w:pStyle w:val="77"/>
              <w:rPr>
                <w:rFonts w:eastAsia="MS Mincho"/>
                <w:lang w:eastAsia="ja-JP"/>
              </w:rPr>
            </w:pPr>
            <w:r>
              <w:rPr>
                <w:lang w:eastAsia="en-GB"/>
              </w:rPr>
              <w:t>FR1 FDD or TDD band with neither E-UTRA–NR nor NB-IoT–NR coexistence cas</w:t>
            </w:r>
            <w:r>
              <w:rPr>
                <w:rFonts w:eastAsia="MS Mincho"/>
                <w:lang w:eastAsia="ja-JP"/>
              </w:rPr>
              <w:t>e</w:t>
            </w:r>
            <w:r>
              <w:rPr>
                <w:rFonts w:ascii="MS Mincho" w:hAnsi="MS Mincho" w:eastAsia="MS Mincho"/>
                <w:lang w:eastAsia="ja-JP"/>
              </w:rPr>
              <w:t xml:space="preserve"> </w:t>
            </w:r>
          </w:p>
        </w:tc>
        <w:tc>
          <w:tcPr>
            <w:tcW w:w="1714" w:type="pct"/>
          </w:tcPr>
          <w:p w14:paraId="17620CA3">
            <w:pPr>
              <w:pStyle w:val="77"/>
              <w:rPr>
                <w:rFonts w:eastAsia="MS Mincho"/>
                <w:lang w:eastAsia="ja-JP"/>
              </w:rPr>
            </w:pPr>
            <w:r>
              <w:rPr>
                <w:lang w:eastAsia="ja-JP"/>
              </w:rPr>
              <w:t>2560</w:t>
            </w:r>
            <w:r>
              <w:rPr>
                <w:lang w:eastAsia="en-GB"/>
              </w:rPr>
              <w:t>0</w:t>
            </w:r>
            <w:r>
              <w:rPr>
                <w:rFonts w:eastAsia="MS Mincho"/>
                <w:lang w:eastAsia="ja-JP"/>
              </w:rPr>
              <w:t xml:space="preserve"> (Note 1)</w:t>
            </w:r>
          </w:p>
        </w:tc>
      </w:tr>
      <w:tr w14:paraId="7178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30F898E9">
            <w:pPr>
              <w:pStyle w:val="77"/>
              <w:rPr>
                <w:lang w:eastAsia="en-GB"/>
              </w:rPr>
            </w:pPr>
            <w:r>
              <w:rPr>
                <w:lang w:eastAsia="zh-CN"/>
              </w:rPr>
              <w:t xml:space="preserve">FR1 FDD band with </w:t>
            </w:r>
            <w:r>
              <w:rPr>
                <w:lang w:eastAsia="en-GB"/>
              </w:rPr>
              <w:t>E-UTRA–</w:t>
            </w:r>
            <w:r>
              <w:rPr>
                <w:lang w:eastAsia="zh-CN"/>
              </w:rPr>
              <w:t xml:space="preserve">NR and/or </w:t>
            </w:r>
            <w:r>
              <w:rPr>
                <w:lang w:eastAsia="en-GB"/>
              </w:rPr>
              <w:t xml:space="preserve">NB-IoT–NR </w:t>
            </w:r>
            <w:r>
              <w:rPr>
                <w:lang w:eastAsia="zh-CN"/>
              </w:rPr>
              <w:t xml:space="preserve">coexistence case </w:t>
            </w:r>
          </w:p>
        </w:tc>
        <w:tc>
          <w:tcPr>
            <w:tcW w:w="1714" w:type="pct"/>
          </w:tcPr>
          <w:p w14:paraId="4C0EDE70">
            <w:pPr>
              <w:pStyle w:val="77"/>
              <w:rPr>
                <w:rFonts w:eastAsia="MS Mincho"/>
                <w:lang w:eastAsia="ja-JP"/>
              </w:rPr>
            </w:pPr>
            <w:r>
              <w:rPr>
                <w:lang w:eastAsia="en-GB"/>
              </w:rPr>
              <w:t>0</w:t>
            </w:r>
            <w:r>
              <w:rPr>
                <w:rFonts w:eastAsia="MS Mincho"/>
                <w:lang w:eastAsia="ja-JP"/>
              </w:rPr>
              <w:t xml:space="preserve"> </w:t>
            </w:r>
            <w:r>
              <w:rPr>
                <w:lang w:eastAsia="zh-CN"/>
              </w:rPr>
              <w:t>(Note 1)</w:t>
            </w:r>
          </w:p>
        </w:tc>
      </w:tr>
      <w:tr w14:paraId="4BB4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2E387814">
            <w:pPr>
              <w:pStyle w:val="77"/>
              <w:rPr>
                <w:rFonts w:eastAsia="MS Mincho"/>
                <w:lang w:eastAsia="ja-JP"/>
              </w:rPr>
            </w:pPr>
            <w:r>
              <w:rPr>
                <w:lang w:eastAsia="en-GB"/>
              </w:rPr>
              <w:t>FR1 TDD band</w:t>
            </w:r>
            <w:r>
              <w:rPr>
                <w:rFonts w:eastAsia="MS Mincho"/>
                <w:lang w:eastAsia="ja-JP"/>
              </w:rPr>
              <w:t xml:space="preserve"> </w:t>
            </w:r>
            <w:r>
              <w:rPr>
                <w:lang w:eastAsia="zh-CN"/>
              </w:rPr>
              <w:t xml:space="preserve">with </w:t>
            </w:r>
            <w:r>
              <w:rPr>
                <w:lang w:eastAsia="en-GB"/>
              </w:rPr>
              <w:t>E-UTRA–</w:t>
            </w:r>
            <w:r>
              <w:rPr>
                <w:lang w:eastAsia="zh-CN"/>
              </w:rPr>
              <w:t xml:space="preserve">NR and/or </w:t>
            </w:r>
            <w:r>
              <w:rPr>
                <w:lang w:eastAsia="en-GB"/>
              </w:rPr>
              <w:t xml:space="preserve">NB-IoT–NR </w:t>
            </w:r>
            <w:r>
              <w:rPr>
                <w:lang w:eastAsia="zh-CN"/>
              </w:rPr>
              <w:t>coexistence case</w:t>
            </w:r>
          </w:p>
        </w:tc>
        <w:tc>
          <w:tcPr>
            <w:tcW w:w="1714" w:type="pct"/>
          </w:tcPr>
          <w:p w14:paraId="476368B6">
            <w:pPr>
              <w:pStyle w:val="77"/>
              <w:rPr>
                <w:lang w:eastAsia="zh-CN"/>
              </w:rPr>
            </w:pPr>
            <w:r>
              <w:rPr>
                <w:lang w:eastAsia="en-GB"/>
              </w:rPr>
              <w:t>39936</w:t>
            </w:r>
            <w:r>
              <w:rPr>
                <w:lang w:eastAsia="zh-CN"/>
              </w:rPr>
              <w:t xml:space="preserve"> (Note 1)</w:t>
            </w:r>
          </w:p>
        </w:tc>
      </w:tr>
      <w:tr w14:paraId="3D87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86" w:type="pct"/>
          </w:tcPr>
          <w:p w14:paraId="78BFF651">
            <w:pPr>
              <w:pStyle w:val="77"/>
              <w:rPr>
                <w:lang w:eastAsia="en-GB"/>
              </w:rPr>
            </w:pPr>
            <w:r>
              <w:rPr>
                <w:lang w:eastAsia="en-GB"/>
              </w:rPr>
              <w:t>FR2</w:t>
            </w:r>
          </w:p>
        </w:tc>
        <w:tc>
          <w:tcPr>
            <w:tcW w:w="1714" w:type="pct"/>
          </w:tcPr>
          <w:p w14:paraId="7759726A">
            <w:pPr>
              <w:pStyle w:val="77"/>
              <w:rPr>
                <w:lang w:eastAsia="en-GB"/>
              </w:rPr>
            </w:pPr>
            <w:r>
              <w:rPr>
                <w:lang w:eastAsia="en-GB"/>
              </w:rPr>
              <w:t>13792</w:t>
            </w:r>
          </w:p>
        </w:tc>
      </w:tr>
      <w:tr w14:paraId="5CEA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Pr>
          <w:p w14:paraId="0A18398F">
            <w:pPr>
              <w:pStyle w:val="90"/>
              <w:rPr>
                <w:lang w:eastAsia="en-GB"/>
              </w:rPr>
            </w:pPr>
            <w:r>
              <w:rPr>
                <w:lang w:eastAsia="en-GB"/>
              </w:rPr>
              <w:t>Note 1:</w:t>
            </w:r>
            <w:r>
              <w:rPr>
                <w:lang w:eastAsia="en-GB"/>
              </w:rPr>
              <w:tab/>
            </w:r>
            <w:r>
              <w:rPr>
                <w:lang w:eastAsia="en-GB"/>
              </w:rPr>
              <w:t xml:space="preserve">The UE identifies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based on the information n-TimingAdvanceOffset as specified in TS 38.331 [2]. If UE is not provided with the information n-TimingAdvanceOffset, the default value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is set as </w:t>
            </w:r>
            <w:r>
              <w:rPr>
                <w:lang w:eastAsia="ja-JP"/>
              </w:rPr>
              <w:t>2560</w:t>
            </w:r>
            <w:r>
              <w:rPr>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rPr>
                      <w:rFonts w:ascii="Cambria Math" w:hAnsi="Cambria Math"/>
                      <w:i/>
                      <w:lang w:eastAsia="en-GB"/>
                    </w:rPr>
                  </m:ctrlPr>
                </m:sSubPr>
                <m:e>
                  <m:r>
                    <m:rPr/>
                    <w:rPr>
                      <w:rFonts w:ascii="Cambria Math" w:hAnsi="Cambria Math"/>
                      <w:lang w:eastAsia="en-GB"/>
                    </w:rPr>
                    <m:t>N</m:t>
                  </m:r>
                  <m:ctrlPr>
                    <w:rPr>
                      <w:rFonts w:ascii="Cambria Math" w:hAnsi="Cambria Math"/>
                      <w:i/>
                      <w:lang w:eastAsia="en-GB"/>
                    </w:rPr>
                  </m:ctrlPr>
                </m:e>
                <m:sub>
                  <m:r>
                    <m:rPr>
                      <m:sty m:val="p"/>
                    </m:rPr>
                    <w:rPr>
                      <w:rFonts w:ascii="Cambria Math" w:hAnsi="Cambria Math"/>
                      <w:lang w:eastAsia="en-GB"/>
                    </w:rPr>
                    <m:t>TA offset</m:t>
                  </m:r>
                  <m:ctrlPr>
                    <w:rPr>
                      <w:rFonts w:ascii="Cambria Math" w:hAnsi="Cambria Math"/>
                      <w:i/>
                      <w:lang w:eastAsia="en-GB"/>
                    </w:rPr>
                  </m:ctrlPr>
                </m:sub>
              </m:sSub>
            </m:oMath>
            <w:r>
              <w:rPr>
                <w:lang w:eastAsia="en-GB"/>
              </w:rPr>
              <w:t xml:space="preserve"> can also be provided for </w:t>
            </w:r>
            <w:r>
              <w:rPr>
                <w:rFonts w:eastAsia="等线"/>
                <w:lang w:eastAsia="zh-CN"/>
              </w:rPr>
              <w:t>an FDD serving cell</w:t>
            </w:r>
            <w:r>
              <w:rPr>
                <w:lang w:eastAsia="en-GB"/>
              </w:rPr>
              <w:t>.</w:t>
            </w:r>
          </w:p>
          <w:p w14:paraId="5E64D274">
            <w:pPr>
              <w:pStyle w:val="90"/>
              <w:rPr>
                <w:lang w:eastAsia="en-GB"/>
              </w:rPr>
            </w:pPr>
            <w:r>
              <w:rPr>
                <w:lang w:eastAsia="en-GB"/>
              </w:rPr>
              <w:t>Note 2:</w:t>
            </w:r>
            <w:r>
              <w:rPr>
                <w:lang w:eastAsia="en-GB"/>
              </w:rPr>
              <w:tab/>
            </w:r>
            <w:r>
              <w:rPr>
                <w:lang w:eastAsia="en-GB"/>
              </w:rPr>
              <w:t>Void</w:t>
            </w:r>
          </w:p>
        </w:tc>
      </w:tr>
    </w:tbl>
    <w:p w14:paraId="2D0E7541">
      <w:pPr>
        <w:rPr>
          <w:lang w:eastAsia="ko-KR"/>
        </w:rPr>
      </w:pPr>
    </w:p>
    <w:p w14:paraId="1EB4F8FC">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 is applied.</w:t>
      </w:r>
    </w:p>
    <w:p w14:paraId="1FC0A222">
      <w:pPr>
        <w:pStyle w:val="79"/>
      </w:pPr>
      <w:r>
        <w:t>Table 7.1.2-3: void</w:t>
      </w:r>
    </w:p>
    <w:p w14:paraId="3C18A9E0">
      <w:pPr>
        <w:rPr>
          <w:b/>
          <w:lang w:eastAsia="ko-KR"/>
        </w:rPr>
      </w:pPr>
      <w:r>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1939C0B5">
      <w:pPr>
        <w:rPr>
          <w:b/>
          <w:lang w:eastAsia="ko-KR"/>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7A29A6C">
      <w:pPr>
        <w:rPr>
          <w:b/>
          <w:lang w:eastAsia="ko-KR"/>
        </w:rPr>
      </w:pPr>
      <w:r>
        <w:rPr>
          <w:lang w:eastAsia="ko-KR"/>
        </w:rPr>
        <w:t>If a reference cell on a carrier frequency belonging to the sTAG, which is subject to CCA is not available at the UE then the UE is allowed to use any of available activated SCell(s) at the UE in sTAG as a new reference cell.</w:t>
      </w:r>
    </w:p>
    <w:p w14:paraId="140B03B1">
      <w:pPr>
        <w:pStyle w:val="5"/>
        <w:rPr>
          <w:lang w:eastAsia="zh-CN"/>
        </w:rPr>
      </w:pPr>
      <w:r>
        <w:t>7.1.2.1</w:t>
      </w:r>
      <w:r>
        <w:tab/>
      </w:r>
      <w:r>
        <w:t>Gradual timing adjustment</w:t>
      </w:r>
    </w:p>
    <w:p w14:paraId="05996AB5">
      <w:pPr>
        <w:rPr>
          <w:rFonts w:cs="v4.2.0"/>
        </w:rPr>
      </w:pPr>
      <w:r>
        <w:rPr>
          <w:rFonts w:cs="v4.2.0"/>
        </w:rPr>
        <w:t xml:space="preserve">Requirements in this section shall apply regardless of whether the reference cell is on a carrier frequency subject to CCA or not. </w:t>
      </w:r>
    </w:p>
    <w:p w14:paraId="699F4737">
      <w:pPr>
        <w:rPr>
          <w:rFonts w:cs="v4.2.0"/>
          <w:lang w:eastAsia="zh-CN"/>
        </w:rPr>
      </w:pPr>
      <w:r>
        <w:rPr>
          <w:rFonts w:cs="v4.2.0"/>
          <w:lang w:eastAsia="en-GB"/>
        </w:rPr>
        <w:t xml:space="preserve">When the transmission timing error between the UE and the reference </w:t>
      </w:r>
      <w:r>
        <w:rPr>
          <w:rFonts w:cs="v4.2.0"/>
          <w:lang w:eastAsia="ja-JP"/>
        </w:rPr>
        <w:t>timing</w:t>
      </w:r>
      <w:r>
        <w:rPr>
          <w:rFonts w:cs="v4.2.0"/>
          <w:lang w:eastAsia="en-GB"/>
        </w:rPr>
        <w:t xml:space="preserve"> exceeds </w:t>
      </w:r>
      <w:r>
        <w:rPr>
          <w:rFonts w:cs="v4.2.0"/>
          <w:lang w:eastAsia="en-GB"/>
        </w:rPr>
        <w:sym w:font="Symbol" w:char="F0B1"/>
      </w:r>
      <w:r>
        <w:rPr>
          <w:rFonts w:cs="v4.2.0"/>
          <w:lang w:eastAsia="en-GB"/>
        </w:rPr>
        <w:t>T</w:t>
      </w:r>
      <w:r>
        <w:rPr>
          <w:rFonts w:cs="v4.2.0"/>
          <w:vertAlign w:val="subscript"/>
          <w:lang w:eastAsia="en-GB"/>
        </w:rPr>
        <w:t>e</w:t>
      </w:r>
      <w:r>
        <w:rPr>
          <w:rFonts w:cs="v4.2.0"/>
          <w:lang w:eastAsia="en-GB"/>
        </w:rPr>
        <w:t xml:space="preserve"> then the UE </w:t>
      </w:r>
      <w:r>
        <w:rPr>
          <w:rFonts w:hint="eastAsia" w:cs="v4.2.0"/>
          <w:lang w:val="en-US" w:eastAsia="zh-CN"/>
        </w:rPr>
        <w:t>shall adjust the timing such that timing error is</w:t>
      </w:r>
      <w:r>
        <w:rPr>
          <w:rFonts w:cs="v4.2.0"/>
          <w:lang w:eastAsia="en-GB"/>
        </w:rPr>
        <w:t xml:space="preserve"> to within </w:t>
      </w:r>
      <w:r>
        <w:rPr>
          <w:rFonts w:cs="v4.2.0"/>
          <w:lang w:eastAsia="en-GB"/>
        </w:rPr>
        <w:sym w:font="Symbol" w:char="F0B1"/>
      </w:r>
      <w:r>
        <w:rPr>
          <w:rFonts w:cs="v4.2.0"/>
          <w:lang w:eastAsia="en-GB"/>
        </w:rPr>
        <w:t>T</w:t>
      </w:r>
      <w:r>
        <w:rPr>
          <w:rFonts w:cs="v4.2.0"/>
          <w:vertAlign w:val="subscript"/>
          <w:lang w:eastAsia="en-GB"/>
        </w:rPr>
        <w:t>e</w:t>
      </w:r>
      <w:r>
        <w:rPr>
          <w:lang w:eastAsia="en-GB"/>
        </w:rPr>
        <w:t>.</w:t>
      </w:r>
      <w:r>
        <w:rPr>
          <w:lang w:eastAsia="ja-JP"/>
        </w:rPr>
        <w:t xml:space="preserve"> </w:t>
      </w:r>
      <w:r>
        <w:rPr>
          <w:rFonts w:cs="v4.2.0"/>
          <w:lang w:eastAsia="en-GB"/>
        </w:rPr>
        <w:t xml:space="preserve">The reference </w:t>
      </w:r>
      <w:r>
        <w:rPr>
          <w:rFonts w:cs="v4.2.0"/>
          <w:lang w:eastAsia="ja-JP"/>
        </w:rPr>
        <w:t>timing</w:t>
      </w:r>
      <w:r>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m:t>
                </m:r>
                <m:ctrlPr>
                  <w:rPr>
                    <w:rFonts w:ascii="Cambria Math" w:hAnsi="Cambria Math"/>
                    <w:lang w:eastAsia="en-GB"/>
                  </w:rPr>
                </m:ctrlPr>
              </m:sub>
            </m:sSub>
            <m:r>
              <m:rPr/>
              <w:rPr>
                <w:rFonts w:ascii="Cambria Math"/>
                <w:lang w:eastAsia="en-GB"/>
              </w:rPr>
              <m:t>+</m:t>
            </m:r>
            <m:sSub>
              <m:sSubPr>
                <m:ctrlPr>
                  <w:rPr>
                    <w:rFonts w:ascii="Cambria Math" w:hAnsi="Cambria Math"/>
                    <w:i/>
                    <w:lang w:eastAsia="en-GB"/>
                  </w:rPr>
                </m:ctrlPr>
              </m:sSubPr>
              <m:e>
                <m:r>
                  <m:rPr/>
                  <w:rPr>
                    <w:rFonts w:ascii="Cambria Math"/>
                    <w:lang w:eastAsia="en-GB"/>
                  </w:rPr>
                  <m:t>N</m:t>
                </m:r>
                <m:ctrlPr>
                  <w:rPr>
                    <w:rFonts w:ascii="Cambria Math" w:hAnsi="Cambria Math"/>
                    <w:i/>
                    <w:lang w:eastAsia="en-GB"/>
                  </w:rPr>
                </m:ctrlPr>
              </m:e>
              <m:sub>
                <m:r>
                  <m:rPr>
                    <m:nor/>
                    <m:sty m:val="p"/>
                  </m:rPr>
                  <w:rPr>
                    <w:rFonts w:ascii="Cambria Math"/>
                    <w:b w:val="0"/>
                    <w:i w:val="0"/>
                    <w:lang w:eastAsia="en-GB"/>
                  </w:rPr>
                  <m:t>TA offset</m:t>
                </m:r>
                <m:ctrlPr>
                  <w:rPr>
                    <w:rFonts w:ascii="Cambria Math" w:hAnsi="Cambria Math"/>
                    <w:lang w:eastAsia="en-GB"/>
                  </w:rPr>
                </m:ctrlPr>
              </m:sub>
            </m:sSub>
            <m:ctrlPr>
              <w:rPr>
                <w:rFonts w:ascii="Cambria Math" w:hAnsi="Cambria Math"/>
                <w:i/>
                <w:lang w:eastAsia="en-GB"/>
              </w:rPr>
            </m:ctrlPr>
          </m:e>
        </m:d>
        <m:r>
          <m:rPr/>
          <w:rPr>
            <w:rFonts w:ascii="Cambria Math"/>
            <w:lang w:eastAsia="en-GB"/>
          </w:rPr>
          <m:t>×</m:t>
        </m:r>
        <m:sSub>
          <m:sSubPr>
            <m:ctrlPr>
              <w:rPr>
                <w:rFonts w:ascii="Cambria Math" w:hAnsi="Cambria Math"/>
                <w:i/>
                <w:lang w:eastAsia="en-GB"/>
              </w:rPr>
            </m:ctrlPr>
          </m:sSubPr>
          <m:e>
            <m:r>
              <m:rPr/>
              <w:rPr>
                <w:rFonts w:ascii="Cambria Math"/>
                <w:lang w:eastAsia="en-GB"/>
              </w:rPr>
              <m:t>T</m:t>
            </m:r>
            <m:ctrlPr>
              <w:rPr>
                <w:rFonts w:ascii="Cambria Math" w:hAnsi="Cambria Math"/>
                <w:i/>
                <w:lang w:eastAsia="en-GB"/>
              </w:rPr>
            </m:ctrlPr>
          </m:e>
          <m:sub>
            <m:r>
              <m:rPr/>
              <w:rPr>
                <w:rFonts w:ascii="Cambria Math"/>
                <w:lang w:eastAsia="en-GB"/>
              </w:rPr>
              <m:t>c</m:t>
            </m:r>
            <m:ctrlPr>
              <w:rPr>
                <w:rFonts w:ascii="Cambria Math" w:hAnsi="Cambria Math"/>
                <w:i/>
                <w:lang w:eastAsia="en-GB"/>
              </w:rPr>
            </m:ctrlPr>
          </m:sub>
        </m:sSub>
      </m:oMath>
      <w:r>
        <w:rPr>
          <w:rFonts w:cs="v4.2.0"/>
          <w:lang w:eastAsia="ja-JP"/>
        </w:rPr>
        <w:t xml:space="preserve"> before </w:t>
      </w:r>
      <w:r>
        <w:rPr>
          <w:rFonts w:cs="v4.2.0"/>
          <w:lang w:eastAsia="en-GB"/>
        </w:rPr>
        <w:t>the d</w:t>
      </w:r>
      <w:r>
        <w:rPr>
          <w:rFonts w:cs="v4.2.0"/>
          <w:lang w:eastAsia="ja-JP"/>
        </w:rPr>
        <w:t xml:space="preserve">ownlink timing of the reference cell. </w:t>
      </w:r>
      <w:r>
        <w:rPr>
          <w:rFonts w:cs="v4.2.0"/>
          <w:lang w:eastAsia="en-GB"/>
        </w:rPr>
        <w:t>All adjustments made to the UE uplink timing shall follow these rules:</w:t>
      </w:r>
    </w:p>
    <w:p w14:paraId="1E7C024B">
      <w:pPr>
        <w:pStyle w:val="99"/>
      </w:pPr>
      <w:r>
        <w:t>1)</w:t>
      </w:r>
      <w:r>
        <w:tab/>
      </w:r>
      <w:r>
        <w:t xml:space="preserve">The maximum amount of the magnitude of the timing change in one adjustment shall be </w:t>
      </w:r>
      <w:r>
        <w:rPr>
          <w:rFonts w:cs="v4.2.0"/>
        </w:rPr>
        <w:t>T</w:t>
      </w:r>
      <w:r>
        <w:rPr>
          <w:rFonts w:cs="v4.2.0"/>
          <w:vertAlign w:val="subscript"/>
        </w:rPr>
        <w:t>q</w:t>
      </w:r>
      <w:r>
        <w:t>.</w:t>
      </w:r>
    </w:p>
    <w:p w14:paraId="1670ADA6">
      <w:pPr>
        <w:pStyle w:val="99"/>
      </w:pPr>
      <w:r>
        <w:t>2)</w:t>
      </w:r>
      <w:r>
        <w:tab/>
      </w:r>
      <w:r>
        <w:t xml:space="preserve">The minimum aggregate adjustment rate shall be </w:t>
      </w:r>
      <w:r>
        <w:rPr>
          <w:rFonts w:cs="v4.2.0"/>
        </w:rPr>
        <w:t>T</w:t>
      </w:r>
      <w:r>
        <w:rPr>
          <w:rFonts w:cs="v4.2.0"/>
          <w:vertAlign w:val="subscript"/>
          <w:lang w:eastAsia="zh-CN"/>
        </w:rPr>
        <w:t>p</w:t>
      </w:r>
      <w:r>
        <w:t xml:space="preserve"> per second.</w:t>
      </w:r>
    </w:p>
    <w:p w14:paraId="7BC267D5">
      <w:pPr>
        <w:pStyle w:val="99"/>
        <w:rPr>
          <w:rFonts w:cs="v4.2.0"/>
        </w:rPr>
      </w:pPr>
      <w:r>
        <w:rPr>
          <w:rFonts w:cs="v4.2.0"/>
        </w:rPr>
        <w:t>3)</w:t>
      </w:r>
      <w:r>
        <w:rPr>
          <w:rFonts w:cs="v4.2.0"/>
        </w:rPr>
        <w:tab/>
      </w:r>
      <w:r>
        <w:rPr>
          <w:rFonts w:cs="v4.2.0"/>
        </w:rPr>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6C164EDC">
      <w:pPr>
        <w:pStyle w:val="99"/>
      </w:pPr>
      <w:r>
        <w:tab/>
      </w:r>
      <w:r>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2EDC511F">
      <w:pPr>
        <w:rPr>
          <w:ins w:id="172" w:author="Yanze, Fu" w:date="2025-05-27T13:18:00Z"/>
        </w:rPr>
      </w:pPr>
      <w:r>
        <w:t>For multi-DCI based multi-TRP operation with two TAs</w:t>
      </w:r>
      <w:ins w:id="173" w:author="CMCC-Jingjing" w:date="2025-08-28T14:29:10Z">
        <w:r>
          <w:rPr>
            <w:rFonts w:hint="eastAsia"/>
            <w:lang w:val="en-US" w:eastAsia="zh-CN"/>
          </w:rPr>
          <w:t xml:space="preserve"> and</w:t>
        </w:r>
      </w:ins>
      <w:ins w:id="174" w:author="CMCC-Jingjing" w:date="2025-08-28T14:29:11Z">
        <w:r>
          <w:rPr>
            <w:rFonts w:hint="eastAsia"/>
            <w:lang w:val="en-US" w:eastAsia="zh-CN"/>
          </w:rPr>
          <w:t xml:space="preserve"> </w:t>
        </w:r>
      </w:ins>
      <w:ins w:id="175" w:author="CMCC-Jingjing" w:date="2025-08-28T14:29:21Z">
        <w:r>
          <w:rPr>
            <w:rFonts w:hint="eastAsia"/>
          </w:rPr>
          <w:t xml:space="preserve">asymmetric DL sTRP/UL mTRP deployment </w:t>
        </w:r>
      </w:ins>
      <w:ins w:id="176" w:author="CMCC-Jingjing" w:date="2025-08-28T14:29:21Z">
        <w:r>
          <w:rPr/>
          <w:t>with two TAs</w:t>
        </w:r>
      </w:ins>
      <w:r>
        <w:t>, gradual timing adjustment specified in this clause applies for each TAG and shall be met for each TAG. The reference point for each TAG for the PUCCH/PUSCH/SRS and PRACH transmission triggered by PDCCH order is defined in clause 7.1.1.</w:t>
      </w:r>
    </w:p>
    <w:p w14:paraId="424257A5">
      <w:pPr>
        <w:rPr>
          <w:ins w:id="177" w:author="Yanze, Fu" w:date="2025-05-27T13:18:00Z"/>
          <w:del w:id="178" w:author="CMCC-Jingjing" w:date="2025-08-28T14:30:02Z"/>
        </w:rPr>
      </w:pPr>
      <w:ins w:id="179" w:author="Yanze, Fu" w:date="2025-05-27T13:18:00Z">
        <w:del w:id="180" w:author="CMCC-Jingjing" w:date="2025-08-28T14:30:02Z">
          <w:r>
            <w:rPr/>
            <w:delText xml:space="preserve">For </w:delText>
          </w:r>
        </w:del>
      </w:ins>
      <w:ins w:id="181" w:author="Yanze, Fu" w:date="2025-05-27T13:18:00Z">
        <w:del w:id="182" w:author="CMCC-Jingjing" w:date="2025-08-28T14:30:02Z">
          <w:r>
            <w:rPr>
              <w:rFonts w:hint="eastAsia"/>
            </w:rPr>
            <w:delText xml:space="preserve">asymmetric DL sTRP/UL mTRP deployment </w:delText>
          </w:r>
        </w:del>
      </w:ins>
      <w:ins w:id="183" w:author="Yanze, Fu" w:date="2025-05-27T13:18:00Z">
        <w:del w:id="184" w:author="CMCC-Jingjing" w:date="2025-08-28T14:30:02Z">
          <w:r>
            <w:rPr/>
            <w:delText xml:space="preserve">with two TAs, </w:delText>
          </w:r>
        </w:del>
      </w:ins>
      <w:ins w:id="185" w:author="Yanze, Fu" w:date="2025-05-27T13:18:00Z">
        <w:del w:id="186" w:author="CMCC-Jingjing" w:date="2025-08-28T14:30:02Z">
          <w:r>
            <w:rPr>
              <w:rFonts w:hint="eastAsia"/>
              <w:lang w:val="en-US" w:eastAsia="zh-CN"/>
            </w:rPr>
            <w:delText>for the scenario that UE is not configured with PL offset in joint/UL TCI state(s) and UE may expect to receive SSB from UL TRP(s)</w:delText>
          </w:r>
        </w:del>
      </w:ins>
      <w:ins w:id="187" w:author="Yanze, Fu" w:date="2025-05-27T13:18:00Z">
        <w:del w:id="188" w:author="CMCC-Jingjing" w:date="2025-08-28T14:30:02Z">
          <w:r>
            <w:rPr/>
            <w:delText xml:space="preserve">, </w:delText>
          </w:r>
        </w:del>
      </w:ins>
      <w:ins w:id="189" w:author="Yanze, Fu" w:date="2025-05-27T13:18:00Z">
        <w:del w:id="190" w:author="CMCC-Jingjing" w:date="2025-08-28T14:30:02Z">
          <w:r>
            <w:rPr>
              <w:rFonts w:eastAsia="Calibri"/>
              <w:bCs/>
              <w:lang w:eastAsia="zh-CN"/>
            </w:rPr>
            <w:delText xml:space="preserve">for the case UE is configured with </w:delText>
          </w:r>
        </w:del>
      </w:ins>
      <w:ins w:id="191" w:author="Yanze, Fu" w:date="2025-05-27T13:18:00Z">
        <w:del w:id="192" w:author="CMCC-Jingjing" w:date="2025-08-28T14:30:02Z">
          <w:r>
            <w:rPr>
              <w:rFonts w:eastAsia="Calibri"/>
              <w:bCs/>
              <w:i/>
              <w:iCs/>
              <w:lang w:eastAsia="zh-CN"/>
            </w:rPr>
            <w:delText>SSB-MTC-additionalPCI</w:delText>
          </w:r>
        </w:del>
      </w:ins>
      <w:ins w:id="193" w:author="Yanze, Fu" w:date="2025-05-27T13:18:00Z">
        <w:del w:id="194" w:author="CMCC-Jingjing" w:date="2025-08-28T14:30:02Z">
          <w:r>
            <w:rPr>
              <w:rFonts w:hint="eastAsia" w:eastAsia="Calibri"/>
              <w:bCs/>
              <w:i/>
              <w:iCs/>
              <w:lang w:val="en-US" w:eastAsia="zh-CN"/>
            </w:rPr>
            <w:delText xml:space="preserve">, </w:delText>
          </w:r>
        </w:del>
      </w:ins>
      <w:ins w:id="195" w:author="Yanze, Fu" w:date="2025-05-27T13:18:00Z">
        <w:del w:id="196" w:author="CMCC-Jingjing" w:date="2025-08-28T14:30:02Z">
          <w:r>
            <w:rPr/>
            <w:delText>gradual timing adjustment specified in this clause applies for each TAG and shall be met for each TAG. The reference point for each TAG for the PUCCH/PUSCH/SRS and PRACH transmission triggered by PDCCH order is defined in clause 7.1.1.</w:delText>
          </w:r>
        </w:del>
      </w:ins>
    </w:p>
    <w:p w14:paraId="062920B3">
      <w:pPr>
        <w:rPr>
          <w:ins w:id="197" w:author="Yanze, Fu" w:date="2025-05-27T13:18:00Z"/>
          <w:i/>
          <w:iCs/>
          <w:lang w:eastAsia="zh-CN"/>
        </w:rPr>
      </w:pPr>
      <w:ins w:id="198" w:author="Yanze, Fu" w:date="2025-05-27T13:18:00Z">
        <w:del w:id="199" w:author="CMCC-Jingjing" w:date="2025-08-28T14:30:02Z">
          <w:r>
            <w:rPr>
              <w:rFonts w:hint="eastAsia"/>
              <w:i/>
              <w:iCs/>
              <w:lang w:val="en-US" w:eastAsia="zh-CN"/>
            </w:rPr>
            <w:delText xml:space="preserve">Editor note: </w:delText>
          </w:r>
        </w:del>
      </w:ins>
      <w:ins w:id="200" w:author="Yanze, Fu" w:date="2025-05-27T13:18:00Z">
        <w:del w:id="201" w:author="CMCC-Jingjing" w:date="2025-08-28T14:30:02Z">
          <w:r>
            <w:rPr>
              <w:i/>
              <w:iCs/>
            </w:rPr>
            <w:delText xml:space="preserve"> </w:delText>
          </w:r>
        </w:del>
      </w:ins>
      <w:ins w:id="202" w:author="Yanze, Fu" w:date="2025-05-27T13:18:00Z">
        <w:del w:id="203" w:author="CMCC-Jingjing" w:date="2025-08-28T14:30:02Z">
          <w:r>
            <w:rPr>
              <w:rFonts w:hint="eastAsia"/>
              <w:i/>
              <w:iCs/>
              <w:lang w:val="en-US" w:eastAsia="zh-CN"/>
            </w:rPr>
            <w:delText>FFS for the scenario that UE is configured with PL offset in joint/UL TCI state(s) and UE does not expect to receive SSB from UL TRP(s).</w:delText>
          </w:r>
        </w:del>
      </w:ins>
      <w:ins w:id="204" w:author="Yanze, Fu" w:date="2025-05-27T13:18:00Z">
        <w:del w:id="205" w:author="CMCC-Jingjing" w:date="2025-08-28T14:30:02Z">
          <w:r>
            <w:rPr/>
            <w:delText xml:space="preserve"> </w:delText>
          </w:r>
        </w:del>
      </w:ins>
      <w:ins w:id="206" w:author="Yanze, Fu" w:date="2025-05-27T13:18:00Z">
        <w:del w:id="207" w:author="CMCC-Jingjing" w:date="2025-08-28T14:30:02Z">
          <w:r>
            <w:rPr>
              <w:i/>
              <w:iCs/>
              <w:lang w:val="en-US" w:eastAsia="zh-CN"/>
            </w:rPr>
            <w:delText xml:space="preserve">For </w:delText>
          </w:r>
        </w:del>
      </w:ins>
      <w:ins w:id="208" w:author="Yanze, Fu" w:date="2025-05-27T13:18:00Z">
        <w:del w:id="209" w:author="CMCC-Jingjing" w:date="2025-08-28T14:30:02Z">
          <w:r>
            <w:rPr>
              <w:i/>
              <w:iCs/>
            </w:rPr>
            <w:delText>terminology</w:delText>
          </w:r>
        </w:del>
      </w:ins>
      <w:ins w:id="210" w:author="Yanze, Fu" w:date="2025-05-27T13:18:00Z">
        <w:del w:id="211" w:author="CMCC-Jingjing" w:date="2025-08-28T14:30:02Z">
          <w:r>
            <w:rPr>
              <w:rFonts w:hint="eastAsia"/>
              <w:i/>
              <w:iCs/>
              <w:lang w:val="en-US" w:eastAsia="zh-CN"/>
            </w:rPr>
            <w:delText xml:space="preserve"> of</w:delText>
          </w:r>
        </w:del>
      </w:ins>
      <w:ins w:id="212" w:author="Yanze, Fu" w:date="2025-05-27T13:18:00Z">
        <w:del w:id="213" w:author="CMCC-Jingjing" w:date="2025-08-28T14:30:02Z">
          <w:r>
            <w:rPr>
              <w:i/>
              <w:iCs/>
            </w:rPr>
            <w:delText xml:space="preserve"> </w:delText>
          </w:r>
        </w:del>
      </w:ins>
      <w:ins w:id="214" w:author="Yanze, Fu" w:date="2025-05-27T13:18:00Z">
        <w:del w:id="215" w:author="CMCC-Jingjing" w:date="2025-08-28T14:30:02Z">
          <w:r>
            <w:rPr>
              <w:rFonts w:hint="eastAsia"/>
            </w:rPr>
            <w:delText xml:space="preserve">asymmetric DL sTRP/UL mTRP deployment </w:delText>
          </w:r>
        </w:del>
      </w:ins>
      <w:ins w:id="216" w:author="Yanze, Fu" w:date="2025-05-27T13:18:00Z">
        <w:del w:id="217" w:author="CMCC-Jingjing" w:date="2025-08-28T14:30:02Z">
          <w:r>
            <w:rPr/>
            <w:delText>with two TAs</w:delText>
          </w:r>
        </w:del>
      </w:ins>
      <w:ins w:id="218" w:author="Yanze, Fu" w:date="2025-05-27T13:18:00Z">
        <w:del w:id="219" w:author="CMCC-Jingjing" w:date="2025-08-28T14:30:02Z">
          <w:r>
            <w:rPr>
              <w:i/>
              <w:iCs/>
              <w:lang w:val="en-US" w:eastAsia="zh-CN"/>
            </w:rPr>
            <w:delText xml:space="preserve">, they will be updated </w:delText>
          </w:r>
        </w:del>
      </w:ins>
      <w:ins w:id="220" w:author="Yanze, Fu" w:date="2025-05-27T13:18:00Z">
        <w:del w:id="221" w:author="CMCC-Jingjing" w:date="2025-08-28T14:30:02Z">
          <w:r>
            <w:rPr>
              <w:rFonts w:hint="eastAsia"/>
              <w:i/>
              <w:iCs/>
              <w:lang w:val="en-US" w:eastAsia="zh-CN"/>
            </w:rPr>
            <w:delText>based on</w:delText>
          </w:r>
        </w:del>
      </w:ins>
      <w:ins w:id="222" w:author="Yanze, Fu" w:date="2025-05-27T13:18:00Z">
        <w:del w:id="223" w:author="CMCC-Jingjing" w:date="2025-08-28T14:30:02Z">
          <w:r>
            <w:rPr>
              <w:i/>
              <w:iCs/>
              <w:lang w:val="en-US" w:eastAsia="zh-CN"/>
            </w:rPr>
            <w:delText xml:space="preserve"> UE capability name further</w:delText>
          </w:r>
        </w:del>
      </w:ins>
      <w:ins w:id="224" w:author="Yanze, Fu" w:date="2025-05-27T13:18:00Z">
        <w:r>
          <w:rPr>
            <w:i/>
            <w:iCs/>
            <w:lang w:val="en-US" w:eastAsia="zh-CN"/>
          </w:rPr>
          <w:t>.</w:t>
        </w:r>
      </w:ins>
    </w:p>
    <w:p w14:paraId="35E8E267"/>
    <w:p w14:paraId="5520EE33">
      <w:pPr>
        <w:pStyle w:val="79"/>
      </w:pPr>
      <w:r>
        <w:t>Table 7.1.2.1-1: T</w:t>
      </w:r>
      <w:r>
        <w:rPr>
          <w:vertAlign w:val="subscript"/>
        </w:rPr>
        <w:t>q</w:t>
      </w:r>
      <w:r>
        <w:t xml:space="preserve"> Maximum Autonomous Time Adjustment Step and T</w:t>
      </w:r>
      <w:r>
        <w:rPr>
          <w:vertAlign w:val="subscript"/>
        </w:rPr>
        <w:t>p</w:t>
      </w:r>
      <w:r>
        <w:t xml:space="preserve"> Minimum Aggregate Adjustment rate</w:t>
      </w:r>
    </w:p>
    <w:tbl>
      <w:tblPr>
        <w:tblStyle w:val="60"/>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2"/>
        <w:gridCol w:w="2606"/>
        <w:gridCol w:w="2025"/>
        <w:gridCol w:w="2032"/>
      </w:tblGrid>
      <w:tr w14:paraId="475B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single" w:color="auto" w:sz="4" w:space="0"/>
              <w:right w:val="single" w:color="auto" w:sz="4" w:space="0"/>
            </w:tcBorders>
            <w:vAlign w:val="center"/>
          </w:tcPr>
          <w:p w14:paraId="6B5EEF7E">
            <w:pPr>
              <w:pStyle w:val="75"/>
            </w:pPr>
            <w:r>
              <w:t>Frequency Range</w:t>
            </w:r>
          </w:p>
        </w:tc>
        <w:tc>
          <w:tcPr>
            <w:tcW w:w="1514" w:type="pct"/>
            <w:tcBorders>
              <w:top w:val="single" w:color="auto" w:sz="4" w:space="0"/>
              <w:left w:val="single" w:color="auto" w:sz="4" w:space="0"/>
              <w:bottom w:val="single" w:color="auto" w:sz="4" w:space="0"/>
              <w:right w:val="single" w:color="auto" w:sz="4" w:space="0"/>
            </w:tcBorders>
          </w:tcPr>
          <w:p w14:paraId="3416B43A">
            <w:pPr>
              <w:pStyle w:val="75"/>
            </w:pPr>
            <w:r>
              <w:t>SCS of uplink signals (kHz)</w:t>
            </w:r>
          </w:p>
        </w:tc>
        <w:tc>
          <w:tcPr>
            <w:tcW w:w="1177" w:type="pct"/>
            <w:tcBorders>
              <w:top w:val="single" w:color="auto" w:sz="4" w:space="0"/>
              <w:left w:val="single" w:color="auto" w:sz="4" w:space="0"/>
              <w:bottom w:val="single" w:color="auto" w:sz="4" w:space="0"/>
              <w:right w:val="single" w:color="auto" w:sz="4" w:space="0"/>
            </w:tcBorders>
            <w:vAlign w:val="center"/>
          </w:tcPr>
          <w:p w14:paraId="660CEDDC">
            <w:pPr>
              <w:pStyle w:val="75"/>
            </w:pPr>
            <w:r>
              <w:t>T</w:t>
            </w:r>
            <w:r>
              <w:rPr>
                <w:vertAlign w:val="subscript"/>
              </w:rPr>
              <w:t>q</w:t>
            </w:r>
          </w:p>
        </w:tc>
        <w:tc>
          <w:tcPr>
            <w:tcW w:w="1178" w:type="pct"/>
            <w:tcBorders>
              <w:top w:val="single" w:color="auto" w:sz="4" w:space="0"/>
              <w:left w:val="single" w:color="auto" w:sz="4" w:space="0"/>
              <w:bottom w:val="single" w:color="auto" w:sz="4" w:space="0"/>
              <w:right w:val="single" w:color="auto" w:sz="4" w:space="0"/>
            </w:tcBorders>
            <w:vAlign w:val="center"/>
          </w:tcPr>
          <w:p w14:paraId="190DF421">
            <w:pPr>
              <w:pStyle w:val="75"/>
            </w:pPr>
            <w:r>
              <w:t>T</w:t>
            </w:r>
            <w:r>
              <w:rPr>
                <w:vertAlign w:val="subscript"/>
              </w:rPr>
              <w:t>p</w:t>
            </w:r>
            <w:r>
              <w:t xml:space="preserve"> </w:t>
            </w:r>
          </w:p>
        </w:tc>
      </w:tr>
      <w:tr w14:paraId="615E3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16F28B51">
            <w:pPr>
              <w:pStyle w:val="76"/>
            </w:pPr>
            <w:r>
              <w:t>1</w:t>
            </w:r>
          </w:p>
        </w:tc>
        <w:tc>
          <w:tcPr>
            <w:tcW w:w="1514" w:type="pct"/>
            <w:tcBorders>
              <w:top w:val="single" w:color="auto" w:sz="4" w:space="0"/>
              <w:left w:val="single" w:color="auto" w:sz="4" w:space="0"/>
              <w:bottom w:val="single" w:color="auto" w:sz="4" w:space="0"/>
              <w:right w:val="single" w:color="auto" w:sz="4" w:space="0"/>
            </w:tcBorders>
          </w:tcPr>
          <w:p w14:paraId="71D752C0">
            <w:pPr>
              <w:pStyle w:val="76"/>
            </w:pPr>
            <w:r>
              <w:t>15</w:t>
            </w:r>
          </w:p>
        </w:tc>
        <w:tc>
          <w:tcPr>
            <w:tcW w:w="1177" w:type="pct"/>
            <w:tcBorders>
              <w:top w:val="single" w:color="auto" w:sz="4" w:space="0"/>
              <w:left w:val="single" w:color="auto" w:sz="4" w:space="0"/>
              <w:bottom w:val="single" w:color="auto" w:sz="4" w:space="0"/>
              <w:right w:val="single" w:color="auto" w:sz="4" w:space="0"/>
            </w:tcBorders>
          </w:tcPr>
          <w:p w14:paraId="6C8E9605">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351E2AD7">
            <w:pPr>
              <w:pStyle w:val="76"/>
            </w:pPr>
            <w:r>
              <w:t>5.5*64*T</w:t>
            </w:r>
            <w:r>
              <w:rPr>
                <w:vertAlign w:val="subscript"/>
              </w:rPr>
              <w:t>c</w:t>
            </w:r>
          </w:p>
        </w:tc>
      </w:tr>
      <w:tr w14:paraId="44B3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vAlign w:val="center"/>
          </w:tcPr>
          <w:p w14:paraId="76B0EBA8">
            <w:pPr>
              <w:pStyle w:val="76"/>
            </w:pPr>
          </w:p>
        </w:tc>
        <w:tc>
          <w:tcPr>
            <w:tcW w:w="1514" w:type="pct"/>
            <w:tcBorders>
              <w:top w:val="single" w:color="auto" w:sz="4" w:space="0"/>
              <w:left w:val="single" w:color="auto" w:sz="4" w:space="0"/>
              <w:bottom w:val="single" w:color="auto" w:sz="4" w:space="0"/>
              <w:right w:val="single" w:color="auto" w:sz="4" w:space="0"/>
            </w:tcBorders>
          </w:tcPr>
          <w:p w14:paraId="7C4D8FAD">
            <w:pPr>
              <w:pStyle w:val="76"/>
            </w:pPr>
            <w:r>
              <w:t>30</w:t>
            </w:r>
          </w:p>
        </w:tc>
        <w:tc>
          <w:tcPr>
            <w:tcW w:w="1177" w:type="pct"/>
            <w:tcBorders>
              <w:top w:val="single" w:color="auto" w:sz="4" w:space="0"/>
              <w:left w:val="single" w:color="auto" w:sz="4" w:space="0"/>
              <w:bottom w:val="single" w:color="auto" w:sz="4" w:space="0"/>
              <w:right w:val="single" w:color="auto" w:sz="4" w:space="0"/>
            </w:tcBorders>
          </w:tcPr>
          <w:p w14:paraId="468DE598">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CADDAE6">
            <w:pPr>
              <w:pStyle w:val="76"/>
            </w:pPr>
            <w:r>
              <w:t>5.5*64*T</w:t>
            </w:r>
            <w:r>
              <w:rPr>
                <w:vertAlign w:val="subscript"/>
              </w:rPr>
              <w:t>c</w:t>
            </w:r>
          </w:p>
        </w:tc>
      </w:tr>
      <w:tr w14:paraId="34D7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vAlign w:val="center"/>
          </w:tcPr>
          <w:p w14:paraId="37095CC0">
            <w:pPr>
              <w:pStyle w:val="76"/>
            </w:pPr>
          </w:p>
        </w:tc>
        <w:tc>
          <w:tcPr>
            <w:tcW w:w="1514" w:type="pct"/>
            <w:tcBorders>
              <w:top w:val="single" w:color="auto" w:sz="4" w:space="0"/>
              <w:left w:val="single" w:color="auto" w:sz="4" w:space="0"/>
              <w:bottom w:val="single" w:color="auto" w:sz="4" w:space="0"/>
              <w:right w:val="single" w:color="auto" w:sz="4" w:space="0"/>
            </w:tcBorders>
          </w:tcPr>
          <w:p w14:paraId="7D3805D1">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69441B7C">
            <w:pPr>
              <w:pStyle w:val="76"/>
            </w:pPr>
            <w:r>
              <w:t>5.5*64*T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4DF47EC">
            <w:pPr>
              <w:pStyle w:val="76"/>
            </w:pPr>
            <w:r>
              <w:t>5.5*64*T</w:t>
            </w:r>
            <w:r>
              <w:rPr>
                <w:vertAlign w:val="subscript"/>
              </w:rPr>
              <w:t>c</w:t>
            </w:r>
          </w:p>
        </w:tc>
      </w:tr>
      <w:tr w14:paraId="6FB4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vAlign w:val="center"/>
          </w:tcPr>
          <w:p w14:paraId="3E052874">
            <w:pPr>
              <w:pStyle w:val="76"/>
            </w:pPr>
            <w:r>
              <w:t>2-1</w:t>
            </w:r>
          </w:p>
        </w:tc>
        <w:tc>
          <w:tcPr>
            <w:tcW w:w="1514" w:type="pct"/>
            <w:tcBorders>
              <w:top w:val="single" w:color="auto" w:sz="4" w:space="0"/>
              <w:left w:val="single" w:color="auto" w:sz="4" w:space="0"/>
              <w:bottom w:val="single" w:color="auto" w:sz="4" w:space="0"/>
              <w:right w:val="single" w:color="auto" w:sz="4" w:space="0"/>
            </w:tcBorders>
          </w:tcPr>
          <w:p w14:paraId="66EDC434">
            <w:pPr>
              <w:pStyle w:val="76"/>
            </w:pPr>
            <w:r>
              <w:t>60</w:t>
            </w:r>
          </w:p>
        </w:tc>
        <w:tc>
          <w:tcPr>
            <w:tcW w:w="1177" w:type="pct"/>
            <w:tcBorders>
              <w:top w:val="single" w:color="auto" w:sz="4" w:space="0"/>
              <w:left w:val="single" w:color="auto" w:sz="4" w:space="0"/>
              <w:bottom w:val="single" w:color="auto" w:sz="4" w:space="0"/>
              <w:right w:val="single" w:color="auto" w:sz="4" w:space="0"/>
            </w:tcBorders>
          </w:tcPr>
          <w:p w14:paraId="4A8CE578">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1A4BF99F">
            <w:pPr>
              <w:pStyle w:val="76"/>
            </w:pPr>
            <w:r>
              <w:t>2.5*64*T</w:t>
            </w:r>
            <w:r>
              <w:rPr>
                <w:vertAlign w:val="subscript"/>
              </w:rPr>
              <w:t>c</w:t>
            </w:r>
          </w:p>
        </w:tc>
      </w:tr>
      <w:tr w14:paraId="0C27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6B0DD1B8">
            <w:pPr>
              <w:pStyle w:val="76"/>
            </w:pPr>
          </w:p>
        </w:tc>
        <w:tc>
          <w:tcPr>
            <w:tcW w:w="1514" w:type="pct"/>
            <w:tcBorders>
              <w:top w:val="single" w:color="auto" w:sz="4" w:space="0"/>
              <w:left w:val="single" w:color="auto" w:sz="4" w:space="0"/>
              <w:bottom w:val="single" w:color="auto" w:sz="4" w:space="0"/>
              <w:right w:val="single" w:color="auto" w:sz="4" w:space="0"/>
            </w:tcBorders>
          </w:tcPr>
          <w:p w14:paraId="0C338140">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2EF21C0A">
            <w:pPr>
              <w:pStyle w:val="76"/>
            </w:pPr>
            <w:r>
              <w:t>K*64*T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192A706B">
            <w:pPr>
              <w:pStyle w:val="76"/>
            </w:pPr>
            <w:r>
              <w:t>2.5*64*T</w:t>
            </w:r>
            <w:r>
              <w:rPr>
                <w:vertAlign w:val="subscript"/>
              </w:rPr>
              <w:t>c</w:t>
            </w:r>
          </w:p>
        </w:tc>
      </w:tr>
      <w:tr w14:paraId="5782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single" w:color="auto" w:sz="4" w:space="0"/>
              <w:left w:val="single" w:color="auto" w:sz="4" w:space="0"/>
              <w:bottom w:val="nil"/>
              <w:right w:val="single" w:color="auto" w:sz="4" w:space="0"/>
            </w:tcBorders>
          </w:tcPr>
          <w:p w14:paraId="63BE7299">
            <w:pPr>
              <w:pStyle w:val="76"/>
            </w:pPr>
            <w:r>
              <w:t>2-2</w:t>
            </w:r>
          </w:p>
        </w:tc>
        <w:tc>
          <w:tcPr>
            <w:tcW w:w="1514" w:type="pct"/>
            <w:tcBorders>
              <w:top w:val="single" w:color="auto" w:sz="4" w:space="0"/>
              <w:left w:val="single" w:color="auto" w:sz="4" w:space="0"/>
              <w:bottom w:val="single" w:color="auto" w:sz="4" w:space="0"/>
              <w:right w:val="single" w:color="auto" w:sz="4" w:space="0"/>
            </w:tcBorders>
          </w:tcPr>
          <w:p w14:paraId="1C3F55FD">
            <w:pPr>
              <w:pStyle w:val="76"/>
            </w:pPr>
            <w:r>
              <w:t>120</w:t>
            </w:r>
          </w:p>
        </w:tc>
        <w:tc>
          <w:tcPr>
            <w:tcW w:w="1177" w:type="pct"/>
            <w:tcBorders>
              <w:top w:val="single" w:color="auto" w:sz="4" w:space="0"/>
              <w:left w:val="single" w:color="auto" w:sz="4" w:space="0"/>
              <w:bottom w:val="single" w:color="auto" w:sz="4" w:space="0"/>
              <w:right w:val="single" w:color="auto" w:sz="4" w:space="0"/>
            </w:tcBorders>
          </w:tcPr>
          <w:p w14:paraId="44D28ECC">
            <w:pPr>
              <w:pStyle w:val="76"/>
            </w:pPr>
            <w:r>
              <w:t>2.5*64*T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5CBCF150">
            <w:pPr>
              <w:pStyle w:val="76"/>
            </w:pPr>
            <w:r>
              <w:t>2.5*64*T</w:t>
            </w:r>
            <w:r>
              <w:rPr>
                <w:vertAlign w:val="subscript"/>
              </w:rPr>
              <w:t>c</w:t>
            </w:r>
          </w:p>
        </w:tc>
      </w:tr>
      <w:tr w14:paraId="3720E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nil"/>
              <w:right w:val="single" w:color="auto" w:sz="4" w:space="0"/>
            </w:tcBorders>
          </w:tcPr>
          <w:p w14:paraId="42E8A7F1">
            <w:pPr>
              <w:pStyle w:val="76"/>
            </w:pPr>
          </w:p>
        </w:tc>
        <w:tc>
          <w:tcPr>
            <w:tcW w:w="1514" w:type="pct"/>
            <w:tcBorders>
              <w:top w:val="single" w:color="auto" w:sz="4" w:space="0"/>
              <w:left w:val="single" w:color="auto" w:sz="4" w:space="0"/>
              <w:bottom w:val="single" w:color="auto" w:sz="4" w:space="0"/>
              <w:right w:val="single" w:color="auto" w:sz="4" w:space="0"/>
            </w:tcBorders>
          </w:tcPr>
          <w:p w14:paraId="727F9054">
            <w:pPr>
              <w:pStyle w:val="76"/>
            </w:pPr>
            <w:r>
              <w:t>480</w:t>
            </w:r>
          </w:p>
        </w:tc>
        <w:tc>
          <w:tcPr>
            <w:tcW w:w="1177" w:type="pct"/>
            <w:tcBorders>
              <w:top w:val="single" w:color="auto" w:sz="4" w:space="0"/>
              <w:left w:val="single" w:color="auto" w:sz="4" w:space="0"/>
              <w:bottom w:val="single" w:color="auto" w:sz="4" w:space="0"/>
              <w:right w:val="single" w:color="auto" w:sz="4" w:space="0"/>
            </w:tcBorders>
          </w:tcPr>
          <w:p w14:paraId="22D0E72B">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434131D1">
            <w:pPr>
              <w:pStyle w:val="76"/>
            </w:pPr>
            <w:r>
              <w:t>0.8*64*T</w:t>
            </w:r>
            <w:r>
              <w:rPr>
                <w:vertAlign w:val="subscript"/>
              </w:rPr>
              <w:t>c</w:t>
            </w:r>
          </w:p>
        </w:tc>
      </w:tr>
      <w:tr w14:paraId="3DB8B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left w:val="single" w:color="auto" w:sz="4" w:space="0"/>
              <w:bottom w:val="single" w:color="auto" w:sz="4" w:space="0"/>
              <w:right w:val="single" w:color="auto" w:sz="4" w:space="0"/>
            </w:tcBorders>
          </w:tcPr>
          <w:p w14:paraId="0439C84E">
            <w:pPr>
              <w:pStyle w:val="76"/>
            </w:pPr>
          </w:p>
        </w:tc>
        <w:tc>
          <w:tcPr>
            <w:tcW w:w="1514" w:type="pct"/>
            <w:tcBorders>
              <w:top w:val="single" w:color="auto" w:sz="4" w:space="0"/>
              <w:left w:val="single" w:color="auto" w:sz="4" w:space="0"/>
              <w:bottom w:val="single" w:color="auto" w:sz="4" w:space="0"/>
              <w:right w:val="single" w:color="auto" w:sz="4" w:space="0"/>
            </w:tcBorders>
          </w:tcPr>
          <w:p w14:paraId="37C60F56">
            <w:pPr>
              <w:pStyle w:val="76"/>
            </w:pPr>
            <w:r>
              <w:t>960</w:t>
            </w:r>
          </w:p>
        </w:tc>
        <w:tc>
          <w:tcPr>
            <w:tcW w:w="1177" w:type="pct"/>
            <w:tcBorders>
              <w:top w:val="single" w:color="auto" w:sz="4" w:space="0"/>
              <w:left w:val="single" w:color="auto" w:sz="4" w:space="0"/>
              <w:bottom w:val="single" w:color="auto" w:sz="4" w:space="0"/>
              <w:right w:val="single" w:color="auto" w:sz="4" w:space="0"/>
            </w:tcBorders>
          </w:tcPr>
          <w:p w14:paraId="44471628">
            <w:pPr>
              <w:pStyle w:val="76"/>
            </w:pPr>
            <w:r>
              <w:t>0.8*64*T</w:t>
            </w:r>
            <w:r>
              <w:rPr>
                <w:vertAlign w:val="subscript"/>
              </w:rPr>
              <w:t>c</w:t>
            </w:r>
          </w:p>
        </w:tc>
        <w:tc>
          <w:tcPr>
            <w:tcW w:w="1178" w:type="pct"/>
            <w:tcBorders>
              <w:top w:val="single" w:color="auto" w:sz="4" w:space="0"/>
              <w:left w:val="single" w:color="auto" w:sz="4" w:space="0"/>
              <w:bottom w:val="single" w:color="auto" w:sz="4" w:space="0"/>
              <w:right w:val="single" w:color="auto" w:sz="4" w:space="0"/>
            </w:tcBorders>
          </w:tcPr>
          <w:p w14:paraId="7629D40B">
            <w:pPr>
              <w:pStyle w:val="76"/>
            </w:pPr>
            <w:r>
              <w:t>0.8*64*T</w:t>
            </w:r>
            <w:r>
              <w:rPr>
                <w:vertAlign w:val="subscript"/>
              </w:rPr>
              <w:t>c</w:t>
            </w:r>
          </w:p>
        </w:tc>
      </w:tr>
      <w:tr w14:paraId="71E8E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14:paraId="714C2DED">
            <w:pPr>
              <w:pStyle w:val="90"/>
            </w:pPr>
            <w:r>
              <w:rPr>
                <w:rFonts w:cs="Arial"/>
              </w:rPr>
              <w:t>NOTE 1</w:t>
            </w:r>
            <w:r>
              <w:t>:</w:t>
            </w:r>
            <w:r>
              <w:tab/>
            </w:r>
            <w:r>
              <w:t>T</w:t>
            </w:r>
            <w:r>
              <w:rPr>
                <w:vertAlign w:val="subscript"/>
              </w:rPr>
              <w:t>c</w:t>
            </w:r>
            <w:r>
              <w:t xml:space="preserve"> is the basic timing unit defined in TS 38.211 [6]</w:t>
            </w:r>
          </w:p>
          <w:p w14:paraId="128ACD0B">
            <w:pPr>
              <w:pStyle w:val="90"/>
            </w:pPr>
            <w:r>
              <w:rPr>
                <w:rFonts w:cs="Arial"/>
              </w:rPr>
              <w:t>NOTE 2</w:t>
            </w:r>
            <w:r>
              <w:t>:</w:t>
            </w:r>
            <w:r>
              <w:tab/>
            </w:r>
            <w:r>
              <w:t xml:space="preserve">When </w:t>
            </w:r>
            <w:r>
              <w:rPr>
                <w:i/>
                <w:iCs/>
              </w:rPr>
              <w:t>highSpeedMeasFlagFR2-r17</w:t>
            </w:r>
            <w:r>
              <w:t xml:space="preserve"> is configured for UE supporting power class 6, K = 4.5; otherwise, K = 2.5.</w:t>
            </w:r>
          </w:p>
        </w:tc>
      </w:tr>
    </w:tbl>
    <w:p w14:paraId="0E0724CD">
      <w:pPr>
        <w:rPr>
          <w:lang w:eastAsia="zh-CN"/>
        </w:rPr>
      </w:pPr>
    </w:p>
    <w:p w14:paraId="431B8E09">
      <w:pPr>
        <w:pStyle w:val="5"/>
        <w:rPr>
          <w:lang w:eastAsia="zh-CN"/>
        </w:rPr>
      </w:pPr>
      <w:r>
        <w:t>7.1.2.2</w:t>
      </w:r>
      <w:r>
        <w:tab/>
      </w:r>
      <w:r>
        <w:t>Void</w:t>
      </w:r>
    </w:p>
    <w:p w14:paraId="66200026">
      <w:pPr>
        <w:pStyle w:val="79"/>
        <w:rPr>
          <w:lang w:eastAsia="zh-CN"/>
        </w:rPr>
      </w:pPr>
      <w:r>
        <w:t>Table 7.1.2.2-1: Void</w:t>
      </w:r>
    </w:p>
    <w:p w14:paraId="42513E0B"/>
    <w:p w14:paraId="65A76A7C">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2"/>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ze, Fu">
    <w15:presenceInfo w15:providerId="None" w15:userId="Yanze, Fu"/>
  </w15:person>
  <w15:person w15:author="CMCC-RAN4#116">
    <w15:presenceInfo w15:providerId="None" w15:userId="CMCC-RAN4#116"/>
  </w15:person>
  <w15:person w15:author="CMCC-Jingjing">
    <w15:presenceInfo w15:providerId="None" w15:userId="CMCC-Ji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8E67502"/>
    <w:rsid w:val="0A243FB0"/>
    <w:rsid w:val="0A9F717D"/>
    <w:rsid w:val="0AB13EC9"/>
    <w:rsid w:val="0B94510B"/>
    <w:rsid w:val="0C32300E"/>
    <w:rsid w:val="0D187EE2"/>
    <w:rsid w:val="0D3A3793"/>
    <w:rsid w:val="0D631E83"/>
    <w:rsid w:val="0E2A3C19"/>
    <w:rsid w:val="0EC46203"/>
    <w:rsid w:val="0FDD23A2"/>
    <w:rsid w:val="10165F74"/>
    <w:rsid w:val="11574382"/>
    <w:rsid w:val="1207125C"/>
    <w:rsid w:val="135419F9"/>
    <w:rsid w:val="148E6570"/>
    <w:rsid w:val="14CC6EAC"/>
    <w:rsid w:val="152B2749"/>
    <w:rsid w:val="15A4110E"/>
    <w:rsid w:val="15CB1C78"/>
    <w:rsid w:val="16175528"/>
    <w:rsid w:val="17792096"/>
    <w:rsid w:val="18B72C9A"/>
    <w:rsid w:val="19CC5E1A"/>
    <w:rsid w:val="1A8639C6"/>
    <w:rsid w:val="1B0C7541"/>
    <w:rsid w:val="1B4A5B58"/>
    <w:rsid w:val="1C8966A5"/>
    <w:rsid w:val="1CD501DC"/>
    <w:rsid w:val="1E330118"/>
    <w:rsid w:val="1F505538"/>
    <w:rsid w:val="1FFB5F05"/>
    <w:rsid w:val="201A2537"/>
    <w:rsid w:val="20AF2A2B"/>
    <w:rsid w:val="20FD0CC2"/>
    <w:rsid w:val="21976207"/>
    <w:rsid w:val="23D4492A"/>
    <w:rsid w:val="24730532"/>
    <w:rsid w:val="249E03B6"/>
    <w:rsid w:val="25C603D0"/>
    <w:rsid w:val="26DC5ACE"/>
    <w:rsid w:val="274D272A"/>
    <w:rsid w:val="27D07660"/>
    <w:rsid w:val="29D4102F"/>
    <w:rsid w:val="29E63F34"/>
    <w:rsid w:val="29EA31D2"/>
    <w:rsid w:val="2A0B3707"/>
    <w:rsid w:val="2C3F192C"/>
    <w:rsid w:val="2CBB3E12"/>
    <w:rsid w:val="2CD11925"/>
    <w:rsid w:val="2CDF34A2"/>
    <w:rsid w:val="2DCB5B0E"/>
    <w:rsid w:val="2DE55AB4"/>
    <w:rsid w:val="2DF674F5"/>
    <w:rsid w:val="2E0A50FE"/>
    <w:rsid w:val="2E3326E2"/>
    <w:rsid w:val="2E9B7C83"/>
    <w:rsid w:val="2FF13786"/>
    <w:rsid w:val="2FF81ACE"/>
    <w:rsid w:val="312C253A"/>
    <w:rsid w:val="316E2FA4"/>
    <w:rsid w:val="31B3151A"/>
    <w:rsid w:val="32235051"/>
    <w:rsid w:val="32416CAC"/>
    <w:rsid w:val="32910B50"/>
    <w:rsid w:val="335D3AD4"/>
    <w:rsid w:val="33FF10DF"/>
    <w:rsid w:val="344714D3"/>
    <w:rsid w:val="34D15BB4"/>
    <w:rsid w:val="34E84632"/>
    <w:rsid w:val="36067063"/>
    <w:rsid w:val="36536868"/>
    <w:rsid w:val="369A64A4"/>
    <w:rsid w:val="36BF7BD3"/>
    <w:rsid w:val="371B009F"/>
    <w:rsid w:val="385176F1"/>
    <w:rsid w:val="389152DA"/>
    <w:rsid w:val="38B8109A"/>
    <w:rsid w:val="3A235A71"/>
    <w:rsid w:val="3A5A03B7"/>
    <w:rsid w:val="3AA1633F"/>
    <w:rsid w:val="3AFC6C19"/>
    <w:rsid w:val="3C326F2E"/>
    <w:rsid w:val="3C890576"/>
    <w:rsid w:val="3D014BA4"/>
    <w:rsid w:val="3D3A5F9D"/>
    <w:rsid w:val="3D962E9A"/>
    <w:rsid w:val="3DF52EB3"/>
    <w:rsid w:val="3EAE6953"/>
    <w:rsid w:val="3EB3456B"/>
    <w:rsid w:val="3F7D74B7"/>
    <w:rsid w:val="409E2E12"/>
    <w:rsid w:val="416050CE"/>
    <w:rsid w:val="41926BA2"/>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0B618F8"/>
    <w:rsid w:val="514349DF"/>
    <w:rsid w:val="514D2B27"/>
    <w:rsid w:val="51D6733E"/>
    <w:rsid w:val="51FB670C"/>
    <w:rsid w:val="52C85E60"/>
    <w:rsid w:val="52C97C12"/>
    <w:rsid w:val="548E3F00"/>
    <w:rsid w:val="55A80497"/>
    <w:rsid w:val="57522A51"/>
    <w:rsid w:val="57722F85"/>
    <w:rsid w:val="59373B6B"/>
    <w:rsid w:val="59AA0627"/>
    <w:rsid w:val="5A1952EB"/>
    <w:rsid w:val="5AC558FB"/>
    <w:rsid w:val="5BFD51BD"/>
    <w:rsid w:val="5CC613FD"/>
    <w:rsid w:val="5DE16A92"/>
    <w:rsid w:val="5E165C67"/>
    <w:rsid w:val="5E614550"/>
    <w:rsid w:val="5F952071"/>
    <w:rsid w:val="60482704"/>
    <w:rsid w:val="608B087A"/>
    <w:rsid w:val="60AF2869"/>
    <w:rsid w:val="61AE21A6"/>
    <w:rsid w:val="62755297"/>
    <w:rsid w:val="62A969EB"/>
    <w:rsid w:val="62CF2D30"/>
    <w:rsid w:val="63883E5B"/>
    <w:rsid w:val="64555CE2"/>
    <w:rsid w:val="64F968DA"/>
    <w:rsid w:val="650642CC"/>
    <w:rsid w:val="65705EF9"/>
    <w:rsid w:val="661F4D98"/>
    <w:rsid w:val="66DB514B"/>
    <w:rsid w:val="66F51579"/>
    <w:rsid w:val="677840D0"/>
    <w:rsid w:val="68D11D83"/>
    <w:rsid w:val="6A2B7182"/>
    <w:rsid w:val="6A3841F9"/>
    <w:rsid w:val="6B1931C0"/>
    <w:rsid w:val="6B28575B"/>
    <w:rsid w:val="6C2D13BB"/>
    <w:rsid w:val="6D814635"/>
    <w:rsid w:val="6F14284D"/>
    <w:rsid w:val="6F804AE6"/>
    <w:rsid w:val="705D0266"/>
    <w:rsid w:val="709C35CE"/>
    <w:rsid w:val="712F4F90"/>
    <w:rsid w:val="716360A0"/>
    <w:rsid w:val="727C3DA2"/>
    <w:rsid w:val="741A7071"/>
    <w:rsid w:val="742553E2"/>
    <w:rsid w:val="751C56B1"/>
    <w:rsid w:val="75F65014"/>
    <w:rsid w:val="761738FD"/>
    <w:rsid w:val="76473B19"/>
    <w:rsid w:val="765E6FC2"/>
    <w:rsid w:val="76671B28"/>
    <w:rsid w:val="76746FA2"/>
    <w:rsid w:val="76926517"/>
    <w:rsid w:val="76CC3D72"/>
    <w:rsid w:val="76CC75F6"/>
    <w:rsid w:val="76FA02BF"/>
    <w:rsid w:val="77014A81"/>
    <w:rsid w:val="77814BC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4</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CMCC-Jingjing</cp:lastModifiedBy>
  <cp:lastPrinted>2411-12-31T00:00:00Z</cp:lastPrinted>
  <dcterms:modified xsi:type="dcterms:W3CDTF">2025-08-29T06:04:49Z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